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0" w:rsidRPr="00DB5798" w:rsidRDefault="00D07F82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C21">
        <w:rPr>
          <w:rFonts w:ascii="Times New Roman" w:hAnsi="Times New Roman" w:cs="Times New Roman"/>
          <w:sz w:val="28"/>
          <w:szCs w:val="28"/>
        </w:rPr>
        <w:t xml:space="preserve"> </w:t>
      </w:r>
      <w:r w:rsidR="00314FF8" w:rsidRPr="00DB579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ДУМА МУНИЦИПАЛЬНОГО РАЙОНА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D2" w:rsidRPr="00DB5798" w:rsidRDefault="00314FF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РЕШЕНИЕ</w:t>
      </w:r>
    </w:p>
    <w:p w:rsidR="00B609D2" w:rsidRPr="000C0524" w:rsidRDefault="00B609D2" w:rsidP="00B6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77" w:rsidRPr="00DB5798" w:rsidRDefault="00822A7E" w:rsidP="00D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798">
        <w:rPr>
          <w:rFonts w:ascii="Times New Roman" w:hAnsi="Times New Roman" w:cs="Times New Roman"/>
          <w:sz w:val="28"/>
          <w:szCs w:val="28"/>
        </w:rPr>
        <w:t>О работе</w:t>
      </w:r>
      <w:r w:rsidR="00B609D2" w:rsidRPr="00DB5798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0C0524" w:rsidRPr="00DB5798">
        <w:rPr>
          <w:rFonts w:ascii="Times New Roman" w:hAnsi="Times New Roman" w:cs="Times New Roman"/>
          <w:sz w:val="28"/>
          <w:szCs w:val="28"/>
        </w:rPr>
        <w:t xml:space="preserve"> за 20</w:t>
      </w:r>
      <w:r w:rsidR="00E50932">
        <w:rPr>
          <w:rFonts w:ascii="Times New Roman" w:hAnsi="Times New Roman" w:cs="Times New Roman"/>
          <w:sz w:val="28"/>
          <w:szCs w:val="28"/>
        </w:rPr>
        <w:t>20</w:t>
      </w:r>
      <w:r w:rsidR="00B00C77" w:rsidRPr="00DB57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B18" w:rsidRPr="00DB5798" w:rsidRDefault="002A0B18" w:rsidP="00B60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C77" w:rsidRPr="000C0524" w:rsidRDefault="007040C5" w:rsidP="000C0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E50932">
        <w:rPr>
          <w:rFonts w:ascii="Times New Roman" w:hAnsi="Times New Roman" w:cs="Times New Roman"/>
          <w:sz w:val="28"/>
          <w:szCs w:val="28"/>
        </w:rPr>
        <w:t>мая</w:t>
      </w:r>
      <w:r w:rsidR="00DB5798">
        <w:rPr>
          <w:rFonts w:ascii="Times New Roman" w:hAnsi="Times New Roman" w:cs="Times New Roman"/>
          <w:sz w:val="28"/>
          <w:szCs w:val="28"/>
        </w:rPr>
        <w:t xml:space="preserve"> 20</w:t>
      </w:r>
      <w:r w:rsidR="00E50932">
        <w:rPr>
          <w:rFonts w:ascii="Times New Roman" w:hAnsi="Times New Roman" w:cs="Times New Roman"/>
          <w:sz w:val="28"/>
          <w:szCs w:val="28"/>
        </w:rPr>
        <w:t>21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E50932">
        <w:rPr>
          <w:rFonts w:ascii="Times New Roman" w:hAnsi="Times New Roman" w:cs="Times New Roman"/>
          <w:sz w:val="28"/>
          <w:szCs w:val="28"/>
        </w:rPr>
        <w:t xml:space="preserve">    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FF8">
        <w:rPr>
          <w:rFonts w:ascii="Times New Roman" w:hAnsi="Times New Roman" w:cs="Times New Roman"/>
          <w:sz w:val="28"/>
          <w:szCs w:val="28"/>
        </w:rPr>
        <w:t>р.</w:t>
      </w:r>
      <w:r w:rsidR="00B00C77" w:rsidRPr="000C0524">
        <w:rPr>
          <w:rFonts w:ascii="Times New Roman" w:hAnsi="Times New Roman" w:cs="Times New Roman"/>
          <w:sz w:val="28"/>
          <w:szCs w:val="28"/>
        </w:rPr>
        <w:t>п.</w:t>
      </w:r>
      <w:r w:rsidR="00EC0A4A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Качуг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77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  Заслушав информацию </w:t>
      </w:r>
      <w:r w:rsidR="000C0524">
        <w:rPr>
          <w:rFonts w:ascii="Times New Roman" w:hAnsi="Times New Roman" w:cs="Times New Roman"/>
          <w:sz w:val="28"/>
          <w:szCs w:val="28"/>
        </w:rPr>
        <w:t>заведующего</w:t>
      </w:r>
      <w:r w:rsidRPr="000C05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C0524">
        <w:rPr>
          <w:rFonts w:ascii="Times New Roman" w:hAnsi="Times New Roman" w:cs="Times New Roman"/>
          <w:sz w:val="28"/>
          <w:szCs w:val="28"/>
        </w:rPr>
        <w:t>ом</w:t>
      </w:r>
      <w:r w:rsidRPr="000C0524">
        <w:rPr>
          <w:rFonts w:ascii="Times New Roman" w:hAnsi="Times New Roman" w:cs="Times New Roman"/>
          <w:sz w:val="28"/>
          <w:szCs w:val="28"/>
        </w:rPr>
        <w:t xml:space="preserve">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 Юшиной О.Н.</w:t>
      </w:r>
      <w:r w:rsidRPr="000C0524">
        <w:rPr>
          <w:rFonts w:ascii="Times New Roman" w:hAnsi="Times New Roman" w:cs="Times New Roman"/>
          <w:sz w:val="28"/>
          <w:szCs w:val="28"/>
        </w:rPr>
        <w:t xml:space="preserve"> «О</w:t>
      </w:r>
      <w:r w:rsidR="00822A7E" w:rsidRPr="000C0524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за 20</w:t>
      </w:r>
      <w:r w:rsidR="00E50932">
        <w:rPr>
          <w:rFonts w:ascii="Times New Roman" w:hAnsi="Times New Roman" w:cs="Times New Roman"/>
          <w:sz w:val="28"/>
          <w:szCs w:val="28"/>
        </w:rPr>
        <w:t>20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год</w:t>
      </w:r>
      <w:r w:rsidR="00DB5798">
        <w:rPr>
          <w:rFonts w:ascii="Times New Roman" w:hAnsi="Times New Roman" w:cs="Times New Roman"/>
          <w:sz w:val="28"/>
          <w:szCs w:val="28"/>
        </w:rPr>
        <w:t>»,</w:t>
      </w:r>
      <w:r w:rsidRPr="000C0524"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0E110F">
        <w:rPr>
          <w:rFonts w:ascii="Times New Roman" w:hAnsi="Times New Roman" w:cs="Times New Roman"/>
          <w:sz w:val="28"/>
          <w:szCs w:val="28"/>
        </w:rPr>
        <w:t xml:space="preserve">ст. </w:t>
      </w:r>
      <w:r w:rsidRPr="000C0524">
        <w:rPr>
          <w:rFonts w:ascii="Times New Roman" w:hAnsi="Times New Roman" w:cs="Times New Roman"/>
          <w:sz w:val="28"/>
          <w:szCs w:val="28"/>
        </w:rPr>
        <w:t>25,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Pr="000C0524">
        <w:rPr>
          <w:rFonts w:ascii="Times New Roman" w:hAnsi="Times New Roman" w:cs="Times New Roman"/>
          <w:sz w:val="28"/>
          <w:szCs w:val="28"/>
        </w:rPr>
        <w:t xml:space="preserve">49 Устава МО «Качугский район» Дума муниципального района </w:t>
      </w:r>
    </w:p>
    <w:p w:rsidR="00DB5798" w:rsidRPr="000C0524" w:rsidRDefault="00DB5798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2C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0524">
        <w:rPr>
          <w:rFonts w:ascii="Times New Roman" w:hAnsi="Times New Roman" w:cs="Times New Roman"/>
          <w:sz w:val="28"/>
          <w:szCs w:val="28"/>
        </w:rPr>
        <w:t xml:space="preserve"> Е Ш ИЛ А : </w:t>
      </w:r>
    </w:p>
    <w:p w:rsidR="00B00C77" w:rsidRPr="000C0524" w:rsidRDefault="00B00C77" w:rsidP="00B0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09D2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DB5798">
        <w:rPr>
          <w:rFonts w:ascii="Times New Roman" w:hAnsi="Times New Roman" w:cs="Times New Roman"/>
          <w:sz w:val="28"/>
          <w:szCs w:val="28"/>
        </w:rPr>
        <w:t>И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DB5798">
        <w:rPr>
          <w:rFonts w:ascii="Times New Roman" w:hAnsi="Times New Roman" w:cs="Times New Roman"/>
          <w:sz w:val="28"/>
          <w:szCs w:val="28"/>
        </w:rPr>
        <w:t>заведующего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B5798">
        <w:rPr>
          <w:rFonts w:ascii="Times New Roman" w:hAnsi="Times New Roman" w:cs="Times New Roman"/>
          <w:sz w:val="28"/>
          <w:szCs w:val="28"/>
        </w:rPr>
        <w:t>ом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 Юшиной О.Н.</w:t>
      </w:r>
      <w:r w:rsidR="00DB5798" w:rsidRPr="000C0524">
        <w:rPr>
          <w:rFonts w:ascii="Times New Roman" w:hAnsi="Times New Roman" w:cs="Times New Roman"/>
          <w:sz w:val="28"/>
          <w:szCs w:val="28"/>
        </w:rPr>
        <w:t xml:space="preserve"> «О работе 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DB5798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муниципального района «Качугский район»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за 20</w:t>
      </w:r>
      <w:r w:rsidR="00E50932">
        <w:rPr>
          <w:rFonts w:ascii="Times New Roman" w:hAnsi="Times New Roman" w:cs="Times New Roman"/>
          <w:sz w:val="28"/>
          <w:szCs w:val="28"/>
        </w:rPr>
        <w:t>20</w:t>
      </w:r>
      <w:r w:rsidR="00DB5798" w:rsidRPr="00DB5798">
        <w:rPr>
          <w:rFonts w:ascii="Times New Roman" w:hAnsi="Times New Roman" w:cs="Times New Roman"/>
          <w:sz w:val="28"/>
          <w:szCs w:val="28"/>
        </w:rPr>
        <w:t xml:space="preserve"> год</w:t>
      </w:r>
      <w:r w:rsidR="000C204B">
        <w:rPr>
          <w:rFonts w:ascii="Times New Roman" w:hAnsi="Times New Roman" w:cs="Times New Roman"/>
          <w:sz w:val="28"/>
          <w:szCs w:val="28"/>
        </w:rPr>
        <w:t>»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B00C77" w:rsidRPr="000C052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45D86" w:rsidRPr="000C0524" w:rsidRDefault="00A5413A" w:rsidP="00A5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0C204B">
        <w:rPr>
          <w:rFonts w:ascii="Times New Roman" w:hAnsi="Times New Roman" w:cs="Times New Roman"/>
          <w:sz w:val="28"/>
          <w:szCs w:val="28"/>
        </w:rPr>
        <w:t>Отделу по</w:t>
      </w:r>
      <w:r w:rsidR="000C204B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0C204B">
        <w:rPr>
          <w:rFonts w:ascii="Times New Roman" w:hAnsi="Times New Roman" w:cs="Times New Roman"/>
          <w:sz w:val="28"/>
          <w:szCs w:val="28"/>
        </w:rPr>
        <w:t xml:space="preserve">управлению муниципальным имуществом администрации муниципального района «Качугский район» </w:t>
      </w:r>
      <w:r w:rsidR="00B00C77" w:rsidRPr="000C0524">
        <w:rPr>
          <w:rFonts w:ascii="Times New Roman" w:hAnsi="Times New Roman" w:cs="Times New Roman"/>
          <w:sz w:val="28"/>
          <w:szCs w:val="28"/>
        </w:rPr>
        <w:t>(</w:t>
      </w:r>
      <w:r w:rsidR="000C204B">
        <w:rPr>
          <w:rFonts w:ascii="Times New Roman" w:hAnsi="Times New Roman" w:cs="Times New Roman"/>
          <w:sz w:val="28"/>
          <w:szCs w:val="28"/>
        </w:rPr>
        <w:t>Юшина О.Н.):</w:t>
      </w:r>
      <w:r w:rsidR="00B00C77" w:rsidRPr="000C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509" w:rsidRDefault="00E50932" w:rsidP="00B5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4DC">
        <w:rPr>
          <w:rFonts w:ascii="Times New Roman" w:hAnsi="Times New Roman" w:cs="Times New Roman"/>
          <w:sz w:val="28"/>
          <w:szCs w:val="28"/>
        </w:rPr>
        <w:t>2</w:t>
      </w:r>
      <w:r w:rsidR="00E45D86" w:rsidRPr="000C0524">
        <w:rPr>
          <w:rFonts w:ascii="Times New Roman" w:hAnsi="Times New Roman" w:cs="Times New Roman"/>
          <w:sz w:val="28"/>
          <w:szCs w:val="28"/>
        </w:rPr>
        <w:t>.</w:t>
      </w:r>
      <w:r w:rsidR="00B574DC">
        <w:rPr>
          <w:rFonts w:ascii="Times New Roman" w:hAnsi="Times New Roman" w:cs="Times New Roman"/>
          <w:sz w:val="28"/>
          <w:szCs w:val="28"/>
        </w:rPr>
        <w:t>1</w:t>
      </w:r>
      <w:r w:rsidR="00E45D86" w:rsidRPr="000C0524">
        <w:rPr>
          <w:rFonts w:ascii="Times New Roman" w:hAnsi="Times New Roman" w:cs="Times New Roman"/>
          <w:sz w:val="28"/>
          <w:szCs w:val="28"/>
        </w:rPr>
        <w:t>.</w:t>
      </w:r>
      <w:r w:rsidR="002A0B18" w:rsidRPr="000C0524">
        <w:rPr>
          <w:rFonts w:ascii="Times New Roman" w:hAnsi="Times New Roman" w:cs="Times New Roman"/>
          <w:sz w:val="28"/>
          <w:szCs w:val="28"/>
        </w:rPr>
        <w:t xml:space="preserve"> </w:t>
      </w:r>
      <w:r w:rsidR="009013C6">
        <w:rPr>
          <w:rFonts w:ascii="Times New Roman" w:hAnsi="Times New Roman" w:cs="Times New Roman"/>
          <w:sz w:val="28"/>
          <w:szCs w:val="28"/>
        </w:rPr>
        <w:t>организовать работу по выполнению прогнозного плана приватизации муниципального имущества</w:t>
      </w:r>
      <w:r w:rsidR="00B574DC">
        <w:rPr>
          <w:rFonts w:ascii="Times New Roman" w:hAnsi="Times New Roman" w:cs="Times New Roman"/>
          <w:sz w:val="28"/>
          <w:szCs w:val="28"/>
        </w:rPr>
        <w:t xml:space="preserve"> на 20</w:t>
      </w:r>
      <w:r w:rsidR="00B40509">
        <w:rPr>
          <w:rFonts w:ascii="Times New Roman" w:hAnsi="Times New Roman" w:cs="Times New Roman"/>
          <w:sz w:val="28"/>
          <w:szCs w:val="28"/>
        </w:rPr>
        <w:t>21</w:t>
      </w:r>
      <w:r w:rsidR="00B574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0509" w:rsidRDefault="00B40509" w:rsidP="00B5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организовать работу по наполнению Единого реестра недвижимого имущества недостающими ведениями.    </w:t>
      </w:r>
    </w:p>
    <w:p w:rsidR="002A0B18" w:rsidRPr="000C0524" w:rsidRDefault="00F315EF" w:rsidP="00B5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5F32">
        <w:rPr>
          <w:rFonts w:ascii="Times New Roman" w:hAnsi="Times New Roman" w:cs="Times New Roman"/>
          <w:sz w:val="28"/>
          <w:szCs w:val="28"/>
        </w:rPr>
        <w:t>3</w:t>
      </w:r>
      <w:r w:rsidR="00D66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B18" w:rsidRPr="000C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0B18" w:rsidRPr="000C052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FE32C4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мэра муниципального района </w:t>
      </w:r>
      <w:r w:rsidR="00E50932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="00E50932">
        <w:rPr>
          <w:rFonts w:ascii="Times New Roman" w:hAnsi="Times New Roman" w:cs="Times New Roman"/>
          <w:sz w:val="28"/>
          <w:szCs w:val="28"/>
        </w:rPr>
        <w:t>Шонькина</w:t>
      </w:r>
      <w:proofErr w:type="spellEnd"/>
      <w:r w:rsidR="002A0B18" w:rsidRPr="000C0524">
        <w:rPr>
          <w:rFonts w:ascii="Times New Roman" w:hAnsi="Times New Roman" w:cs="Times New Roman"/>
          <w:sz w:val="28"/>
          <w:szCs w:val="28"/>
        </w:rPr>
        <w:t>.</w:t>
      </w:r>
    </w:p>
    <w:p w:rsidR="002A0B18" w:rsidRDefault="002A0B18" w:rsidP="00FE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F0" w:rsidRPr="000C0524" w:rsidRDefault="00D972F0" w:rsidP="00FE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32" w:rsidRDefault="002A0B18" w:rsidP="00FE32C4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 xml:space="preserve">Мэр муниципального  района                                             </w:t>
      </w:r>
      <w:r w:rsidR="00FE32C4">
        <w:rPr>
          <w:rFonts w:ascii="Times New Roman" w:hAnsi="Times New Roman" w:cs="Times New Roman"/>
          <w:sz w:val="28"/>
          <w:szCs w:val="28"/>
        </w:rPr>
        <w:t xml:space="preserve">     </w:t>
      </w:r>
      <w:r w:rsidR="004E1341">
        <w:rPr>
          <w:rFonts w:ascii="Times New Roman" w:hAnsi="Times New Roman" w:cs="Times New Roman"/>
          <w:sz w:val="28"/>
          <w:szCs w:val="28"/>
        </w:rPr>
        <w:t xml:space="preserve">     </w:t>
      </w:r>
      <w:r w:rsidR="00FE32C4">
        <w:rPr>
          <w:rFonts w:ascii="Times New Roman" w:hAnsi="Times New Roman" w:cs="Times New Roman"/>
          <w:sz w:val="28"/>
          <w:szCs w:val="28"/>
        </w:rPr>
        <w:t xml:space="preserve"> </w:t>
      </w:r>
      <w:r w:rsidR="00E50932">
        <w:rPr>
          <w:rFonts w:ascii="Times New Roman" w:hAnsi="Times New Roman" w:cs="Times New Roman"/>
          <w:sz w:val="28"/>
          <w:szCs w:val="28"/>
        </w:rPr>
        <w:t>Е.В. Липатов</w:t>
      </w:r>
    </w:p>
    <w:p w:rsidR="006662E3" w:rsidRDefault="006662E3" w:rsidP="00FE32C4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2A" w:rsidRDefault="00A4132A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2E3" w:rsidRDefault="007040C5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85F32">
        <w:rPr>
          <w:rFonts w:ascii="Times New Roman" w:hAnsi="Times New Roman" w:cs="Times New Roman"/>
          <w:sz w:val="28"/>
          <w:szCs w:val="28"/>
        </w:rPr>
        <w:t xml:space="preserve"> </w:t>
      </w:r>
      <w:r w:rsidR="00E50932">
        <w:rPr>
          <w:rFonts w:ascii="Times New Roman" w:hAnsi="Times New Roman" w:cs="Times New Roman"/>
          <w:sz w:val="28"/>
          <w:szCs w:val="28"/>
        </w:rPr>
        <w:t>мая</w:t>
      </w:r>
      <w:r w:rsidR="00A85F32">
        <w:rPr>
          <w:rFonts w:ascii="Times New Roman" w:hAnsi="Times New Roman" w:cs="Times New Roman"/>
          <w:sz w:val="28"/>
          <w:szCs w:val="28"/>
        </w:rPr>
        <w:t xml:space="preserve"> 20</w:t>
      </w:r>
      <w:r w:rsidR="00E50932">
        <w:rPr>
          <w:rFonts w:ascii="Times New Roman" w:hAnsi="Times New Roman" w:cs="Times New Roman"/>
          <w:sz w:val="28"/>
          <w:szCs w:val="28"/>
        </w:rPr>
        <w:t>21</w:t>
      </w:r>
      <w:r w:rsidR="00314FF8">
        <w:rPr>
          <w:rFonts w:ascii="Times New Roman" w:hAnsi="Times New Roman" w:cs="Times New Roman"/>
          <w:sz w:val="28"/>
          <w:szCs w:val="28"/>
        </w:rPr>
        <w:t xml:space="preserve"> </w:t>
      </w:r>
      <w:r w:rsidR="00EC0A4A" w:rsidRPr="000C0524">
        <w:rPr>
          <w:rFonts w:ascii="Times New Roman" w:hAnsi="Times New Roman" w:cs="Times New Roman"/>
          <w:sz w:val="28"/>
          <w:szCs w:val="28"/>
        </w:rPr>
        <w:t>года</w:t>
      </w:r>
    </w:p>
    <w:p w:rsidR="00EC0A4A" w:rsidRPr="000C0524" w:rsidRDefault="00314FF8" w:rsidP="00A85F32">
      <w:pPr>
        <w:tabs>
          <w:tab w:val="left" w:pos="65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EC0A4A" w:rsidRPr="000C0524">
        <w:rPr>
          <w:rFonts w:ascii="Times New Roman" w:hAnsi="Times New Roman" w:cs="Times New Roman"/>
          <w:sz w:val="28"/>
          <w:szCs w:val="28"/>
        </w:rPr>
        <w:t>п. Качуг</w:t>
      </w:r>
    </w:p>
    <w:p w:rsidR="002A0B18" w:rsidRDefault="002A0B18" w:rsidP="002A0B18">
      <w:pPr>
        <w:rPr>
          <w:rFonts w:ascii="Times New Roman" w:hAnsi="Times New Roman" w:cs="Times New Roman"/>
          <w:sz w:val="28"/>
          <w:szCs w:val="28"/>
        </w:rPr>
      </w:pPr>
      <w:r w:rsidRPr="000C0524">
        <w:rPr>
          <w:rFonts w:ascii="Times New Roman" w:hAnsi="Times New Roman" w:cs="Times New Roman"/>
          <w:sz w:val="28"/>
          <w:szCs w:val="28"/>
        </w:rPr>
        <w:t>№</w:t>
      </w:r>
      <w:r w:rsidR="006402CE">
        <w:rPr>
          <w:rFonts w:ascii="Times New Roman" w:hAnsi="Times New Roman" w:cs="Times New Roman"/>
          <w:sz w:val="28"/>
          <w:szCs w:val="28"/>
        </w:rPr>
        <w:t xml:space="preserve">  </w:t>
      </w:r>
      <w:r w:rsidR="00D2676C">
        <w:rPr>
          <w:rFonts w:ascii="Times New Roman" w:hAnsi="Times New Roman" w:cs="Times New Roman"/>
          <w:sz w:val="28"/>
          <w:szCs w:val="28"/>
        </w:rPr>
        <w:t>61</w:t>
      </w:r>
    </w:p>
    <w:p w:rsidR="006402CE" w:rsidRPr="00112A90" w:rsidRDefault="007D7BB4" w:rsidP="0064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112A90" w:rsidRPr="00112A90" w:rsidRDefault="00112A90" w:rsidP="0064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A90" w:rsidRPr="00112A90" w:rsidRDefault="006402CE" w:rsidP="00112A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90">
        <w:rPr>
          <w:rFonts w:ascii="Times New Roman" w:hAnsi="Times New Roman"/>
          <w:sz w:val="28"/>
          <w:szCs w:val="28"/>
        </w:rPr>
        <w:t xml:space="preserve">  </w:t>
      </w:r>
      <w:r w:rsidR="00112A90" w:rsidRPr="00112A90">
        <w:rPr>
          <w:rFonts w:ascii="Times New Roman" w:hAnsi="Times New Roman"/>
          <w:sz w:val="28"/>
          <w:szCs w:val="28"/>
        </w:rPr>
        <w:t>о работе отдела по управлению муниципальным имуществом администрации муниципального района «Качугский район» за 20</w:t>
      </w:r>
      <w:r w:rsidR="005A2A4F">
        <w:rPr>
          <w:rFonts w:ascii="Times New Roman" w:hAnsi="Times New Roman"/>
          <w:sz w:val="28"/>
          <w:szCs w:val="28"/>
        </w:rPr>
        <w:t>20</w:t>
      </w:r>
      <w:r w:rsidR="00112A90" w:rsidRPr="00112A90">
        <w:rPr>
          <w:rFonts w:ascii="Times New Roman" w:hAnsi="Times New Roman"/>
          <w:sz w:val="28"/>
          <w:szCs w:val="28"/>
        </w:rPr>
        <w:t xml:space="preserve"> год</w:t>
      </w:r>
    </w:p>
    <w:p w:rsidR="00112A90" w:rsidRDefault="00112A90" w:rsidP="00112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</w:t>
      </w:r>
      <w:r w:rsidR="004F6F22">
        <w:rPr>
          <w:rFonts w:ascii="Times New Roman" w:hAnsi="Times New Roman" w:cs="Times New Roman"/>
          <w:sz w:val="28"/>
          <w:szCs w:val="28"/>
        </w:rPr>
        <w:t>является структурным подразделением администрации муниципального района «Качугский район», не наделенным правами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Положением об отделе, утвержденным постановлением администрации муниципального района от 29.08.2016 № 158</w:t>
      </w:r>
      <w:r w:rsidR="000A392C">
        <w:rPr>
          <w:rFonts w:ascii="Times New Roman" w:hAnsi="Times New Roman" w:cs="Times New Roman"/>
          <w:sz w:val="28"/>
          <w:szCs w:val="28"/>
        </w:rPr>
        <w:t xml:space="preserve"> (с изменениями, утвержденными постановлением администрации муниципального района от 15.11.2019 № 189)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отдела входят: заведующий отделом по управлению муниципальным имуществом, 2 главных специалиста, 2 ведущих специалиста.</w:t>
      </w:r>
      <w:r w:rsidRPr="006E7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E2" w:rsidRDefault="004434E2" w:rsidP="004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4070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 отделом по управлению муниципальным имуществом рассмотрено всего 1089 заявлений и сообщений, поступивших в администрацию муниципального района, что составляет 15,8% от общего числа зарегистрированных заявлений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возложенными задачами   отдел выполняет функции по организации работы по подготовке проектов муниципальных правовых актов и сопутствующей документации  по  закреплению объектов в хозяйственное ведение и оперативное управление за муниципальными унитарными предприятиями, казенными учреждениями. В 20</w:t>
      </w:r>
      <w:r w:rsidR="005A2A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подготовлено </w:t>
      </w:r>
      <w:r w:rsidR="005A2A4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о передаче объектов муниципальной собственности в оперативное управление</w:t>
      </w:r>
      <w:r w:rsidR="00DE0A32">
        <w:rPr>
          <w:rFonts w:ascii="Times New Roman" w:hAnsi="Times New Roman" w:cs="Times New Roman"/>
          <w:sz w:val="28"/>
          <w:szCs w:val="28"/>
        </w:rPr>
        <w:t>, в</w:t>
      </w:r>
      <w:r w:rsidR="00B3318B">
        <w:rPr>
          <w:rFonts w:ascii="Times New Roman" w:hAnsi="Times New Roman" w:cs="Times New Roman"/>
          <w:sz w:val="28"/>
          <w:szCs w:val="28"/>
        </w:rPr>
        <w:t xml:space="preserve"> соответствии с которыми передано 4 объекта недвижимого имущества и 15 единиц техники</w:t>
      </w:r>
      <w:r>
        <w:rPr>
          <w:rFonts w:ascii="Times New Roman" w:hAnsi="Times New Roman" w:cs="Times New Roman"/>
          <w:sz w:val="28"/>
          <w:szCs w:val="28"/>
        </w:rPr>
        <w:t xml:space="preserve"> (в 201</w:t>
      </w:r>
      <w:r w:rsidR="005A2A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6E77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A2A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 передаче в хозяйственное ведение</w:t>
      </w:r>
      <w:r w:rsidR="006E7700">
        <w:rPr>
          <w:rFonts w:ascii="Times New Roman" w:hAnsi="Times New Roman" w:cs="Times New Roman"/>
          <w:sz w:val="28"/>
          <w:szCs w:val="28"/>
        </w:rPr>
        <w:t xml:space="preserve"> </w:t>
      </w:r>
      <w:r w:rsidR="00DE0A32">
        <w:rPr>
          <w:rFonts w:ascii="Times New Roman" w:hAnsi="Times New Roman" w:cs="Times New Roman"/>
          <w:sz w:val="28"/>
          <w:szCs w:val="28"/>
        </w:rPr>
        <w:t xml:space="preserve">4 единиц техники </w:t>
      </w:r>
      <w:r w:rsidR="006E7700">
        <w:rPr>
          <w:rFonts w:ascii="Times New Roman" w:hAnsi="Times New Roman" w:cs="Times New Roman"/>
          <w:sz w:val="28"/>
          <w:szCs w:val="28"/>
        </w:rPr>
        <w:t>(в 2019 –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приватизации муниципального имущества выполнен на </w:t>
      </w:r>
      <w:r w:rsidR="005A2A4F">
        <w:rPr>
          <w:rFonts w:ascii="Times New Roman" w:hAnsi="Times New Roman" w:cs="Times New Roman"/>
          <w:sz w:val="28"/>
          <w:szCs w:val="28"/>
        </w:rPr>
        <w:t>100</w:t>
      </w:r>
      <w:r w:rsidR="006E7700">
        <w:rPr>
          <w:rFonts w:ascii="Times New Roman" w:hAnsi="Times New Roman" w:cs="Times New Roman"/>
          <w:sz w:val="28"/>
          <w:szCs w:val="28"/>
        </w:rPr>
        <w:t>%: про</w:t>
      </w:r>
      <w:r w:rsidR="002A66F1">
        <w:rPr>
          <w:rFonts w:ascii="Times New Roman" w:hAnsi="Times New Roman" w:cs="Times New Roman"/>
          <w:sz w:val="28"/>
          <w:szCs w:val="28"/>
        </w:rPr>
        <w:t>дан 1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6F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2A66F1">
        <w:rPr>
          <w:rFonts w:ascii="Times New Roman" w:hAnsi="Times New Roman" w:cs="Times New Roman"/>
          <w:sz w:val="28"/>
          <w:szCs w:val="28"/>
        </w:rPr>
        <w:t>Иркутская область, Качугский район, с. Бирюлька, ул. Ленина, 31 а, с использованием права преимущественной покупки.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реализации имущества в бюджет муниципального района поступило </w:t>
      </w:r>
      <w:r w:rsidR="002A66F1">
        <w:rPr>
          <w:rFonts w:ascii="Times New Roman" w:hAnsi="Times New Roman" w:cs="Times New Roman"/>
          <w:sz w:val="28"/>
          <w:szCs w:val="28"/>
        </w:rPr>
        <w:t>250000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66F1">
        <w:rPr>
          <w:rFonts w:ascii="Times New Roman" w:hAnsi="Times New Roman" w:cs="Times New Roman"/>
          <w:sz w:val="28"/>
          <w:szCs w:val="28"/>
        </w:rPr>
        <w:t>двести пятьдесят 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66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E0A32">
        <w:rPr>
          <w:rFonts w:ascii="Times New Roman" w:hAnsi="Times New Roman" w:cs="Times New Roman"/>
          <w:sz w:val="28"/>
          <w:szCs w:val="28"/>
        </w:rPr>
        <w:t xml:space="preserve"> (в 2019 году план приватизации выполнен на 33%</w:t>
      </w:r>
      <w:r w:rsidR="00D36FF6">
        <w:rPr>
          <w:rFonts w:ascii="Times New Roman" w:hAnsi="Times New Roman" w:cs="Times New Roman"/>
          <w:sz w:val="28"/>
          <w:szCs w:val="28"/>
        </w:rPr>
        <w:t>, доход составил 257527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90" w:rsidRDefault="002A66F1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</w:t>
      </w:r>
      <w:r w:rsidR="00112A90">
        <w:rPr>
          <w:rFonts w:ascii="Times New Roman" w:hAnsi="Times New Roman" w:cs="Times New Roman"/>
          <w:sz w:val="28"/>
          <w:szCs w:val="28"/>
        </w:rPr>
        <w:t xml:space="preserve"> году проводилась работа по </w:t>
      </w:r>
      <w:r>
        <w:rPr>
          <w:rFonts w:ascii="Times New Roman" w:hAnsi="Times New Roman" w:cs="Times New Roman"/>
          <w:sz w:val="28"/>
          <w:szCs w:val="28"/>
        </w:rPr>
        <w:t>внесению изменений и дополнений в реестр муниципального имущества муниципального образования «Кач</w:t>
      </w:r>
      <w:r w:rsidR="007040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гский район»</w:t>
      </w:r>
      <w:r w:rsidR="00112A90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2A90">
        <w:rPr>
          <w:rFonts w:ascii="Times New Roman" w:hAnsi="Times New Roman" w:cs="Times New Roman"/>
          <w:sz w:val="28"/>
          <w:szCs w:val="28"/>
        </w:rPr>
        <w:t xml:space="preserve"> с Положением о порядке ведения реестра муниципального имущества муниципального образования «Качугский район», утвержденным решением Думы муниципального района от 27.04.2018 г. № 138. В реестр было внесено </w:t>
      </w:r>
      <w:r w:rsidR="000A392C">
        <w:rPr>
          <w:rFonts w:ascii="Times New Roman" w:hAnsi="Times New Roman" w:cs="Times New Roman"/>
          <w:sz w:val="28"/>
          <w:szCs w:val="28"/>
        </w:rPr>
        <w:t>1</w:t>
      </w:r>
      <w:r w:rsidR="00112A90">
        <w:rPr>
          <w:rFonts w:ascii="Times New Roman" w:hAnsi="Times New Roman" w:cs="Times New Roman"/>
          <w:sz w:val="28"/>
          <w:szCs w:val="28"/>
        </w:rPr>
        <w:t xml:space="preserve">7 объектов недвижимого имущества, </w:t>
      </w:r>
      <w:r w:rsidR="00D179E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12A90">
        <w:rPr>
          <w:rFonts w:ascii="Times New Roman" w:hAnsi="Times New Roman" w:cs="Times New Roman"/>
          <w:sz w:val="28"/>
          <w:szCs w:val="28"/>
        </w:rPr>
        <w:t>не учтенных в реестре, внесены сведения по 3</w:t>
      </w:r>
      <w:r w:rsidR="000A392C">
        <w:rPr>
          <w:rFonts w:ascii="Times New Roman" w:hAnsi="Times New Roman" w:cs="Times New Roman"/>
          <w:sz w:val="28"/>
          <w:szCs w:val="28"/>
        </w:rPr>
        <w:t xml:space="preserve">5 объектам движимого имущества, поступившим в предприятия, учреждения. </w:t>
      </w:r>
      <w:r w:rsidR="00112A90">
        <w:rPr>
          <w:rFonts w:ascii="Times New Roman" w:hAnsi="Times New Roman" w:cs="Times New Roman"/>
          <w:sz w:val="28"/>
          <w:szCs w:val="28"/>
        </w:rPr>
        <w:t xml:space="preserve"> </w:t>
      </w:r>
      <w:r w:rsidR="00814FFA">
        <w:rPr>
          <w:rFonts w:ascii="Times New Roman" w:hAnsi="Times New Roman" w:cs="Times New Roman"/>
          <w:sz w:val="28"/>
          <w:szCs w:val="28"/>
        </w:rPr>
        <w:t>И</w:t>
      </w:r>
      <w:r w:rsidR="001C24F7">
        <w:rPr>
          <w:rFonts w:ascii="Times New Roman" w:hAnsi="Times New Roman" w:cs="Times New Roman"/>
          <w:sz w:val="28"/>
          <w:szCs w:val="28"/>
        </w:rPr>
        <w:t>сключено из реестра 28 объектов, из них</w:t>
      </w:r>
      <w:r w:rsidR="00814FFA">
        <w:rPr>
          <w:rFonts w:ascii="Times New Roman" w:hAnsi="Times New Roman" w:cs="Times New Roman"/>
          <w:sz w:val="28"/>
          <w:szCs w:val="28"/>
        </w:rPr>
        <w:t xml:space="preserve"> 4 объекта недвижимого </w:t>
      </w:r>
      <w:r w:rsidR="00814FFA">
        <w:rPr>
          <w:rFonts w:ascii="Times New Roman" w:hAnsi="Times New Roman" w:cs="Times New Roman"/>
          <w:sz w:val="28"/>
          <w:szCs w:val="28"/>
        </w:rPr>
        <w:lastRenderedPageBreak/>
        <w:t>имущества в связи с продажей, 3 объекта движимого имущества в связи со списанием, 18 объектов передано в собственность других поселений при разграничении собственности.</w:t>
      </w:r>
    </w:p>
    <w:p w:rsidR="004965B9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Осуществляя полномочия по </w:t>
      </w:r>
      <w:r w:rsidR="009E4F36">
        <w:rPr>
          <w:rFonts w:ascii="Times New Roman" w:hAnsi="Times New Roman" w:cs="Times New Roman"/>
          <w:sz w:val="28"/>
          <w:szCs w:val="28"/>
        </w:rPr>
        <w:t>распоряжению землей на территории муниципального образования «Качугский район»</w:t>
      </w:r>
      <w:r>
        <w:rPr>
          <w:rFonts w:ascii="Times New Roman" w:hAnsi="Times New Roman" w:cs="Times New Roman"/>
          <w:sz w:val="28"/>
          <w:szCs w:val="28"/>
        </w:rPr>
        <w:t>, в 20</w:t>
      </w:r>
      <w:r w:rsidR="005A2A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4D0D82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4D0D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</w:t>
      </w:r>
      <w:r w:rsidR="002A66F1">
        <w:rPr>
          <w:rFonts w:ascii="Times New Roman" w:hAnsi="Times New Roman" w:cs="Times New Roman"/>
          <w:sz w:val="28"/>
          <w:szCs w:val="28"/>
        </w:rPr>
        <w:t xml:space="preserve"> (в 2019 - 471)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заявлений специалистами отдела вынесено </w:t>
      </w:r>
      <w:r w:rsidR="00814FFA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о предварительном согласовании предоставления земельных участков (в 201</w:t>
      </w:r>
      <w:r w:rsidR="00814F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4FFA">
        <w:rPr>
          <w:rFonts w:ascii="Times New Roman" w:hAnsi="Times New Roman" w:cs="Times New Roman"/>
          <w:sz w:val="28"/>
          <w:szCs w:val="28"/>
        </w:rPr>
        <w:t>1</w:t>
      </w:r>
      <w:r w:rsidR="00D36FF6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14FFA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о предоставлении </w:t>
      </w:r>
      <w:r w:rsidR="00D179E2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814FFA">
        <w:rPr>
          <w:rFonts w:ascii="Times New Roman" w:hAnsi="Times New Roman" w:cs="Times New Roman"/>
          <w:sz w:val="28"/>
          <w:szCs w:val="28"/>
        </w:rPr>
        <w:t xml:space="preserve"> (2019 год – 11), 70</w:t>
      </w:r>
      <w:r>
        <w:rPr>
          <w:rFonts w:ascii="Times New Roman" w:hAnsi="Times New Roman" w:cs="Times New Roman"/>
          <w:sz w:val="28"/>
          <w:szCs w:val="28"/>
        </w:rPr>
        <w:t xml:space="preserve"> решений об отказе в предоставлении земельных участков по различным основаниям</w:t>
      </w:r>
      <w:r w:rsidR="00B3318B">
        <w:rPr>
          <w:rFonts w:ascii="Times New Roman" w:hAnsi="Times New Roman" w:cs="Times New Roman"/>
          <w:sz w:val="28"/>
          <w:szCs w:val="28"/>
        </w:rPr>
        <w:t xml:space="preserve"> (2019 год – 72)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318B">
        <w:rPr>
          <w:rFonts w:ascii="Times New Roman" w:hAnsi="Times New Roman" w:cs="Times New Roman"/>
          <w:sz w:val="28"/>
          <w:szCs w:val="28"/>
        </w:rPr>
        <w:t xml:space="preserve"> </w:t>
      </w:r>
      <w:r w:rsidR="00D36FF6">
        <w:rPr>
          <w:rFonts w:ascii="Times New Roman" w:hAnsi="Times New Roman" w:cs="Times New Roman"/>
          <w:sz w:val="28"/>
          <w:szCs w:val="28"/>
        </w:rPr>
        <w:t xml:space="preserve">8 </w:t>
      </w:r>
      <w:r w:rsidR="00E17EB9">
        <w:rPr>
          <w:rFonts w:ascii="Times New Roman" w:hAnsi="Times New Roman" w:cs="Times New Roman"/>
          <w:sz w:val="28"/>
          <w:szCs w:val="28"/>
        </w:rPr>
        <w:t xml:space="preserve">распоряжений о выдаче </w:t>
      </w:r>
      <w:r w:rsidR="00D36FF6">
        <w:rPr>
          <w:rFonts w:ascii="Times New Roman" w:hAnsi="Times New Roman" w:cs="Times New Roman"/>
          <w:sz w:val="28"/>
          <w:szCs w:val="28"/>
        </w:rPr>
        <w:t>разрешени</w:t>
      </w:r>
      <w:r w:rsidR="00E17EB9">
        <w:rPr>
          <w:rFonts w:ascii="Times New Roman" w:hAnsi="Times New Roman" w:cs="Times New Roman"/>
          <w:sz w:val="28"/>
          <w:szCs w:val="28"/>
        </w:rPr>
        <w:t>я</w:t>
      </w:r>
      <w:r w:rsidR="00D36FF6">
        <w:rPr>
          <w:rFonts w:ascii="Times New Roman" w:hAnsi="Times New Roman" w:cs="Times New Roman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proofErr w:type="gramEnd"/>
      <w:r w:rsidR="00D36FF6">
        <w:rPr>
          <w:rFonts w:ascii="Times New Roman" w:hAnsi="Times New Roman" w:cs="Times New Roman"/>
          <w:sz w:val="28"/>
          <w:szCs w:val="28"/>
        </w:rPr>
        <w:t>, 2 распоряжения о бесплатном предоставлении земельных участков в собственность</w:t>
      </w:r>
      <w:r w:rsidR="004C0A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заключено 14</w:t>
      </w:r>
      <w:r w:rsidR="009E4F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и </w:t>
      </w:r>
      <w:r w:rsidR="00E17EB9">
        <w:rPr>
          <w:rFonts w:ascii="Times New Roman" w:hAnsi="Times New Roman" w:cs="Times New Roman"/>
          <w:sz w:val="28"/>
          <w:szCs w:val="28"/>
        </w:rPr>
        <w:t xml:space="preserve">35 договоров </w:t>
      </w:r>
      <w:r>
        <w:rPr>
          <w:rFonts w:ascii="Times New Roman" w:hAnsi="Times New Roman" w:cs="Times New Roman"/>
          <w:sz w:val="28"/>
          <w:szCs w:val="28"/>
        </w:rPr>
        <w:t xml:space="preserve">купли – продажи земельных участков, </w:t>
      </w:r>
      <w:r w:rsidR="00D36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36F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безвозмездного пользования. </w:t>
      </w:r>
      <w:r w:rsidR="004D0D82">
        <w:rPr>
          <w:rFonts w:ascii="Times New Roman" w:hAnsi="Times New Roman" w:cs="Times New Roman"/>
          <w:sz w:val="28"/>
          <w:szCs w:val="28"/>
        </w:rPr>
        <w:t>В отношении 15 земельных участков подготовлены распоряжения об изменении вида разрешенного использования. В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Земельным кодексом случаях </w:t>
      </w:r>
      <w:r w:rsidR="004965B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предоставлены </w:t>
      </w:r>
      <w:r w:rsidR="004965B9">
        <w:rPr>
          <w:rFonts w:ascii="Times New Roman" w:hAnsi="Times New Roman" w:cs="Times New Roman"/>
          <w:sz w:val="28"/>
          <w:szCs w:val="28"/>
        </w:rPr>
        <w:t>через торги, по результатам которых заключено 21 договор аренды и 16 договоров купли – продажи  (в 2019 году 16 и 14 договоров)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арендной платы по </w:t>
      </w:r>
      <w:r w:rsidR="004965B9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>
        <w:rPr>
          <w:rFonts w:ascii="Times New Roman" w:hAnsi="Times New Roman" w:cs="Times New Roman"/>
          <w:sz w:val="28"/>
          <w:szCs w:val="28"/>
        </w:rPr>
        <w:t xml:space="preserve">договорам составила </w:t>
      </w:r>
      <w:r w:rsidR="004965B9">
        <w:rPr>
          <w:rFonts w:ascii="Times New Roman" w:hAnsi="Times New Roman" w:cs="Times New Roman"/>
          <w:sz w:val="28"/>
          <w:szCs w:val="28"/>
        </w:rPr>
        <w:t>211499,59</w:t>
      </w:r>
      <w:r>
        <w:rPr>
          <w:rFonts w:ascii="Times New Roman" w:hAnsi="Times New Roman" w:cs="Times New Roman"/>
          <w:sz w:val="28"/>
          <w:szCs w:val="28"/>
        </w:rPr>
        <w:t xml:space="preserve"> рубля, от продажи земельных участков- </w:t>
      </w:r>
      <w:r w:rsidR="004D0D82">
        <w:rPr>
          <w:rFonts w:ascii="Times New Roman" w:hAnsi="Times New Roman" w:cs="Times New Roman"/>
          <w:sz w:val="28"/>
          <w:szCs w:val="28"/>
        </w:rPr>
        <w:t>1819</w:t>
      </w:r>
      <w:r w:rsidR="00BB4EC7">
        <w:rPr>
          <w:rFonts w:ascii="Times New Roman" w:hAnsi="Times New Roman" w:cs="Times New Roman"/>
          <w:sz w:val="28"/>
          <w:szCs w:val="28"/>
        </w:rPr>
        <w:t>,74 тыс.</w:t>
      </w:r>
      <w:r w:rsidR="006E6F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BB4E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арендной платы за пользование земельными участками, поступившая в 20</w:t>
      </w:r>
      <w:r w:rsidR="004C0A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4C0A41">
        <w:rPr>
          <w:rFonts w:ascii="Times New Roman" w:hAnsi="Times New Roman" w:cs="Times New Roman"/>
          <w:sz w:val="28"/>
          <w:szCs w:val="28"/>
        </w:rPr>
        <w:t>2532,0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4C0A4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году-</w:t>
      </w:r>
      <w:r w:rsidR="004C0A41">
        <w:rPr>
          <w:rFonts w:ascii="Times New Roman" w:hAnsi="Times New Roman" w:cs="Times New Roman"/>
          <w:sz w:val="28"/>
          <w:szCs w:val="28"/>
        </w:rPr>
        <w:t>3085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201</w:t>
      </w:r>
      <w:r w:rsidR="004C0A41">
        <w:rPr>
          <w:rFonts w:ascii="Times New Roman" w:hAnsi="Times New Roman" w:cs="Times New Roman"/>
          <w:sz w:val="28"/>
          <w:szCs w:val="28"/>
        </w:rPr>
        <w:t>8 году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C0A41">
        <w:rPr>
          <w:rFonts w:ascii="Times New Roman" w:hAnsi="Times New Roman" w:cs="Times New Roman"/>
          <w:sz w:val="28"/>
          <w:szCs w:val="28"/>
        </w:rPr>
        <w:t>876,9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от продажи земельных участков составила </w:t>
      </w:r>
      <w:r w:rsidR="00BB4EC7">
        <w:rPr>
          <w:rFonts w:ascii="Times New Roman" w:hAnsi="Times New Roman" w:cs="Times New Roman"/>
          <w:sz w:val="28"/>
          <w:szCs w:val="28"/>
        </w:rPr>
        <w:t xml:space="preserve">1819,774 тыс.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B4E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544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44D7">
        <w:rPr>
          <w:rFonts w:ascii="Times New Roman" w:hAnsi="Times New Roman" w:cs="Times New Roman"/>
          <w:sz w:val="28"/>
          <w:szCs w:val="28"/>
        </w:rPr>
        <w:t>977,1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7EB9">
        <w:rPr>
          <w:rFonts w:ascii="Times New Roman" w:hAnsi="Times New Roman" w:cs="Times New Roman"/>
          <w:sz w:val="28"/>
          <w:szCs w:val="28"/>
        </w:rPr>
        <w:t>,</w:t>
      </w:r>
      <w:r w:rsidR="00BB4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544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году- 3</w:t>
      </w:r>
      <w:r w:rsidR="005544D7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</w:rPr>
        <w:t>1 тыс. рублей).</w:t>
      </w:r>
    </w:p>
    <w:p w:rsidR="00112A90" w:rsidRDefault="00112A90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земельных участков, вовлеченных в оборот, составила </w:t>
      </w:r>
      <w:r w:rsidR="005544D7">
        <w:rPr>
          <w:rFonts w:ascii="Times New Roman" w:hAnsi="Times New Roman" w:cs="Times New Roman"/>
          <w:sz w:val="28"/>
          <w:szCs w:val="28"/>
        </w:rPr>
        <w:t>1209,8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544D7">
        <w:rPr>
          <w:rFonts w:ascii="Times New Roman" w:hAnsi="Times New Roman" w:cs="Times New Roman"/>
          <w:sz w:val="28"/>
          <w:szCs w:val="28"/>
        </w:rPr>
        <w:t xml:space="preserve"> (в 2019 году- 1009,38 га, в 2018 – 797,69 га)</w:t>
      </w:r>
      <w:r>
        <w:rPr>
          <w:rFonts w:ascii="Times New Roman" w:hAnsi="Times New Roman" w:cs="Times New Roman"/>
          <w:sz w:val="28"/>
          <w:szCs w:val="28"/>
        </w:rPr>
        <w:t xml:space="preserve">, из них земель сельскохозяйственного назначения- </w:t>
      </w:r>
      <w:r w:rsidR="005544D7">
        <w:rPr>
          <w:rFonts w:ascii="Times New Roman" w:hAnsi="Times New Roman" w:cs="Times New Roman"/>
          <w:sz w:val="28"/>
          <w:szCs w:val="28"/>
        </w:rPr>
        <w:t>1086,6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5544D7">
        <w:rPr>
          <w:rFonts w:ascii="Times New Roman" w:hAnsi="Times New Roman" w:cs="Times New Roman"/>
          <w:sz w:val="28"/>
          <w:szCs w:val="28"/>
        </w:rPr>
        <w:t xml:space="preserve"> (2019 -869,87 га, 2018 -701,46 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42B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642B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42B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заключении договор</w:t>
      </w:r>
      <w:r w:rsidR="00642B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жил</w:t>
      </w:r>
      <w:r w:rsidR="00642B0E">
        <w:rPr>
          <w:rFonts w:ascii="Times New Roman" w:hAnsi="Times New Roman" w:cs="Times New Roman"/>
          <w:sz w:val="28"/>
          <w:szCs w:val="28"/>
        </w:rPr>
        <w:t>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642B0E">
        <w:rPr>
          <w:rFonts w:ascii="Times New Roman" w:hAnsi="Times New Roman" w:cs="Times New Roman"/>
          <w:sz w:val="28"/>
          <w:szCs w:val="28"/>
        </w:rPr>
        <w:t>результату рассмотрения заявления заключен 1 договор приватизации (в 2019 году – 6, 2018 году -7).</w:t>
      </w:r>
    </w:p>
    <w:p w:rsidR="00642B0E" w:rsidRDefault="00642B0E" w:rsidP="0064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заключен 1 договор социального найма</w:t>
      </w:r>
      <w:r w:rsidR="005F3E0E">
        <w:rPr>
          <w:rFonts w:ascii="Times New Roman" w:hAnsi="Times New Roman" w:cs="Times New Roman"/>
          <w:sz w:val="28"/>
          <w:szCs w:val="28"/>
        </w:rPr>
        <w:t xml:space="preserve"> жилого помещения. Общая сумма доходов от сдачи помещений в </w:t>
      </w:r>
      <w:proofErr w:type="spellStart"/>
      <w:r w:rsidR="005F3E0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5F3E0E">
        <w:rPr>
          <w:rFonts w:ascii="Times New Roman" w:hAnsi="Times New Roman" w:cs="Times New Roman"/>
          <w:sz w:val="28"/>
          <w:szCs w:val="28"/>
        </w:rPr>
        <w:t xml:space="preserve"> составила 15939 рублей (2019 год -9969,46 рубля).</w:t>
      </w:r>
    </w:p>
    <w:p w:rsidR="005F3E0E" w:rsidRPr="006E7E81" w:rsidRDefault="005F3E0E" w:rsidP="0064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выдано 32 выписки из реестра муниципального имущества, 12 дубликатов договоров приватизации.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81">
        <w:rPr>
          <w:rFonts w:ascii="Times New Roman" w:hAnsi="Times New Roman" w:cs="Times New Roman"/>
          <w:sz w:val="28"/>
          <w:szCs w:val="28"/>
        </w:rPr>
        <w:t xml:space="preserve">  </w:t>
      </w:r>
      <w:r w:rsidR="00642B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истекшем году заключено </w:t>
      </w:r>
      <w:r w:rsidR="004C0A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</w:t>
      </w:r>
      <w:r w:rsidR="00642B0E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из них 2 договора по результатам аукциона.</w:t>
      </w:r>
      <w:r>
        <w:rPr>
          <w:rFonts w:ascii="Times New Roman" w:hAnsi="Times New Roman" w:cs="Times New Roman"/>
          <w:sz w:val="28"/>
          <w:szCs w:val="28"/>
        </w:rPr>
        <w:t xml:space="preserve"> От сдачи объектов в аренду в бюджет  района поступило </w:t>
      </w:r>
      <w:r w:rsidR="004C0A41">
        <w:rPr>
          <w:rFonts w:ascii="Times New Roman" w:hAnsi="Times New Roman" w:cs="Times New Roman"/>
          <w:sz w:val="28"/>
          <w:szCs w:val="28"/>
        </w:rPr>
        <w:t xml:space="preserve">1368,6 тыс. рублей (в 2019 году - </w:t>
      </w:r>
      <w:r w:rsidR="00591A0A">
        <w:rPr>
          <w:rFonts w:ascii="Times New Roman" w:hAnsi="Times New Roman" w:cs="Times New Roman"/>
          <w:sz w:val="28"/>
          <w:szCs w:val="28"/>
        </w:rPr>
        <w:t>13</w:t>
      </w:r>
      <w:r w:rsidR="00AB2CB5">
        <w:rPr>
          <w:rFonts w:ascii="Times New Roman" w:hAnsi="Times New Roman" w:cs="Times New Roman"/>
          <w:sz w:val="28"/>
          <w:szCs w:val="28"/>
        </w:rPr>
        <w:t>80</w:t>
      </w:r>
      <w:r w:rsidR="00591A0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591A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году- </w:t>
      </w:r>
      <w:r w:rsidR="00591A0A">
        <w:rPr>
          <w:rFonts w:ascii="Times New Roman" w:hAnsi="Times New Roman" w:cs="Times New Roman"/>
          <w:sz w:val="28"/>
          <w:szCs w:val="28"/>
        </w:rPr>
        <w:t>1323 тыс.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591A0A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9F3" w:rsidRDefault="00CC3943" w:rsidP="00CC3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претензионная работа с должниками по арендной плате, направлено 21 претензия. В результате этой работы задолженность по арендной плате погасили </w:t>
      </w:r>
      <w:r w:rsidR="00E16C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должников на общую сумму 37077,77 руб., из них основного долга – 29964,25 руб., пени 7113,52 руб. В отношении остальных должников: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НомальОйл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УранЛес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геодезическое предприятие»</w:t>
      </w:r>
      <w:r w:rsidR="000F6647">
        <w:rPr>
          <w:rFonts w:ascii="Times New Roman" w:hAnsi="Times New Roman" w:cs="Times New Roman"/>
          <w:sz w:val="28"/>
          <w:szCs w:val="28"/>
        </w:rPr>
        <w:t xml:space="preserve"> исковые заявления о взыскании задолженности направлены  в суд, требования администрации удовлетворены.</w:t>
      </w:r>
    </w:p>
    <w:p w:rsidR="00112A90" w:rsidRDefault="00AA06C8" w:rsidP="000F6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A90">
        <w:rPr>
          <w:rFonts w:ascii="Times New Roman" w:hAnsi="Times New Roman" w:cs="Times New Roman"/>
          <w:sz w:val="28"/>
          <w:szCs w:val="28"/>
        </w:rPr>
        <w:t xml:space="preserve"> Для выполнения функций по оказанию муниципальных услуг в рамках  межведомственного взаимодействия направлено 813 запросов (в Управление </w:t>
      </w:r>
      <w:proofErr w:type="spellStart"/>
      <w:r w:rsidR="00112A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2A90">
        <w:rPr>
          <w:rFonts w:ascii="Times New Roman" w:hAnsi="Times New Roman" w:cs="Times New Roman"/>
          <w:sz w:val="28"/>
          <w:szCs w:val="28"/>
        </w:rPr>
        <w:t xml:space="preserve"> по Иркутской области, в Министерство лесного комплекса Иркутской области, в Службу по охране объектов культурного наследия,  </w:t>
      </w:r>
      <w:r w:rsidR="000F6647">
        <w:rPr>
          <w:rFonts w:ascii="Times New Roman" w:hAnsi="Times New Roman" w:cs="Times New Roman"/>
          <w:sz w:val="28"/>
          <w:szCs w:val="28"/>
        </w:rPr>
        <w:t>главам поселений</w:t>
      </w:r>
      <w:r w:rsidR="00112A90">
        <w:rPr>
          <w:rFonts w:ascii="Times New Roman" w:hAnsi="Times New Roman" w:cs="Times New Roman"/>
          <w:sz w:val="28"/>
          <w:szCs w:val="28"/>
        </w:rPr>
        <w:t>). Подготовлен</w:t>
      </w:r>
      <w:r w:rsidR="000F6647">
        <w:rPr>
          <w:rFonts w:ascii="Times New Roman" w:hAnsi="Times New Roman" w:cs="Times New Roman"/>
          <w:sz w:val="28"/>
          <w:szCs w:val="28"/>
        </w:rPr>
        <w:t>о</w:t>
      </w:r>
      <w:r w:rsidR="00112A90">
        <w:rPr>
          <w:rFonts w:ascii="Times New Roman" w:hAnsi="Times New Roman" w:cs="Times New Roman"/>
          <w:sz w:val="28"/>
          <w:szCs w:val="28"/>
        </w:rPr>
        <w:t xml:space="preserve"> </w:t>
      </w:r>
      <w:r w:rsidR="000F6647">
        <w:rPr>
          <w:rFonts w:ascii="Times New Roman" w:hAnsi="Times New Roman" w:cs="Times New Roman"/>
          <w:sz w:val="28"/>
          <w:szCs w:val="28"/>
        </w:rPr>
        <w:t xml:space="preserve">356 </w:t>
      </w:r>
      <w:r w:rsidR="00112A90">
        <w:rPr>
          <w:rFonts w:ascii="Times New Roman" w:hAnsi="Times New Roman" w:cs="Times New Roman"/>
          <w:sz w:val="28"/>
          <w:szCs w:val="28"/>
        </w:rPr>
        <w:t xml:space="preserve"> </w:t>
      </w:r>
      <w:r w:rsidR="000F6647">
        <w:rPr>
          <w:rFonts w:ascii="Times New Roman" w:hAnsi="Times New Roman" w:cs="Times New Roman"/>
          <w:sz w:val="28"/>
          <w:szCs w:val="28"/>
        </w:rPr>
        <w:t>ответов</w:t>
      </w:r>
      <w:r w:rsidR="00112A90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запросам.</w:t>
      </w:r>
    </w:p>
    <w:p w:rsidR="00112A90" w:rsidRDefault="009B0D0E" w:rsidP="0011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Иркутской области от 09.0.2017 № 642-пп «О проведении государственной кадастровой оценки объектов недвижимости, расположенных на территории Иркутской области»</w:t>
      </w:r>
    </w:p>
    <w:p w:rsidR="003D23AA" w:rsidRDefault="00E034A7" w:rsidP="003D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в тесном взаимодействии с администрациями поселений участвовал в мероприятиях при проведении кадастровой оценки земельных участков</w:t>
      </w:r>
      <w:r w:rsidR="003D23AA">
        <w:rPr>
          <w:rFonts w:ascii="Times New Roman" w:hAnsi="Times New Roman" w:cs="Times New Roman"/>
          <w:sz w:val="28"/>
          <w:szCs w:val="28"/>
        </w:rPr>
        <w:t xml:space="preserve"> в составе земель населенных пунктов, земель лесного фонда, земель особо охраняемых территорий, были внесены недостающие сведения по 8362 земельным участкам.</w:t>
      </w:r>
    </w:p>
    <w:p w:rsidR="00E2378B" w:rsidRDefault="003D23AA" w:rsidP="00E2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2020 году </w:t>
      </w:r>
      <w:r w:rsidR="00E2378B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начата работа по плану мероприятий по реализации на территории Иркутской области мероприятий по проекту «Наполнение Единого государственного реестра недвижимости необходимыми сведениями</w:t>
      </w:r>
      <w:r w:rsidR="00E2378B">
        <w:rPr>
          <w:rFonts w:ascii="Times New Roman" w:hAnsi="Times New Roman" w:cs="Times New Roman"/>
          <w:sz w:val="28"/>
          <w:szCs w:val="28"/>
        </w:rPr>
        <w:t>»: о правообладателях недвижимого имущества, о количественных и качественных характеристиках. Необходимо отработать 6776 объектов.</w:t>
      </w:r>
    </w:p>
    <w:p w:rsidR="009B0D0E" w:rsidRDefault="009B0D0E" w:rsidP="00E2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по управлению муниципальным имуществом входит главный специалист по предоставлению субсидий.</w:t>
      </w: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 xml:space="preserve">Законом Иркутской области от 10 декабря 2007 года № 116-оз Администрации Качугского района переданы областные государственные полномочия по предоставлению гражданам субсидий на оплату жилых помещений и коммунальных услуг на территории  муниципального образования «Качугский район». </w:t>
      </w: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>Предоставление гражданам субсидии на оплату жилого помещения и коммунальных услуг производится в соответствии с</w:t>
      </w:r>
      <w:r>
        <w:rPr>
          <w:rFonts w:ascii="Times New Roman" w:hAnsi="Times New Roman"/>
          <w:sz w:val="28"/>
          <w:szCs w:val="28"/>
        </w:rPr>
        <w:t xml:space="preserve"> Административным регламентом,</w:t>
      </w:r>
      <w:r w:rsidRPr="00485588">
        <w:rPr>
          <w:rFonts w:ascii="Times New Roman" w:hAnsi="Times New Roman"/>
          <w:sz w:val="28"/>
          <w:szCs w:val="28"/>
        </w:rPr>
        <w:t xml:space="preserve"> Правилами, утвержденными постановлением Правительства Российской Федерации от 14.12.2005 года № 761</w:t>
      </w:r>
      <w:r>
        <w:rPr>
          <w:rFonts w:ascii="Times New Roman" w:hAnsi="Times New Roman"/>
          <w:sz w:val="28"/>
          <w:szCs w:val="28"/>
        </w:rPr>
        <w:t>.</w:t>
      </w:r>
    </w:p>
    <w:p w:rsidR="00BD22CC" w:rsidRDefault="009B0D0E" w:rsidP="00BD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 xml:space="preserve">В 2020 году на предоставление гражданам субсидии на оплату жилого помещения и коммунальных услуг из областного бюджета </w:t>
      </w:r>
      <w:proofErr w:type="spellStart"/>
      <w:r w:rsidRPr="00485588">
        <w:rPr>
          <w:rFonts w:ascii="Times New Roman" w:hAnsi="Times New Roman"/>
          <w:sz w:val="28"/>
          <w:szCs w:val="28"/>
        </w:rPr>
        <w:t>Качугскому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району выделено 5439,2 тыс. руб.</w:t>
      </w:r>
      <w:r>
        <w:rPr>
          <w:rFonts w:ascii="Times New Roman" w:hAnsi="Times New Roman"/>
          <w:sz w:val="28"/>
          <w:szCs w:val="28"/>
        </w:rPr>
        <w:t>,</w:t>
      </w:r>
      <w:r w:rsidRPr="00485588">
        <w:rPr>
          <w:rFonts w:ascii="Times New Roman" w:hAnsi="Times New Roman"/>
          <w:sz w:val="28"/>
          <w:szCs w:val="28"/>
        </w:rPr>
        <w:t xml:space="preserve"> что составило 96,9 % к уровню 2019 года. Использовано 5439,2 тыс. руб., неиспользованных остатков на 01.01.2021г. нет.</w:t>
      </w:r>
    </w:p>
    <w:p w:rsidR="00BD22CC" w:rsidRDefault="00BD22CC" w:rsidP="00BD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2CC" w:rsidRDefault="00BD22CC" w:rsidP="00BD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D0E" w:rsidRPr="00485588" w:rsidRDefault="00BD22CC" w:rsidP="00BD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9B0D0E" w:rsidRPr="00485588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6"/>
        <w:tblW w:w="11214" w:type="dxa"/>
        <w:tblInd w:w="704" w:type="dxa"/>
        <w:tblLook w:val="04A0"/>
      </w:tblPr>
      <w:tblGrid>
        <w:gridCol w:w="3119"/>
        <w:gridCol w:w="3260"/>
        <w:gridCol w:w="2693"/>
        <w:gridCol w:w="1292"/>
        <w:gridCol w:w="850"/>
      </w:tblGrid>
      <w:tr w:rsidR="009B0D0E" w:rsidRPr="00485588" w:rsidTr="00374E38">
        <w:trPr>
          <w:trHeight w:val="304"/>
        </w:trPr>
        <w:tc>
          <w:tcPr>
            <w:tcW w:w="3119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260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0E" w:rsidRPr="0048558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0D0E" w:rsidRPr="0048558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D0E" w:rsidRPr="00485588" w:rsidTr="00374E38">
        <w:tc>
          <w:tcPr>
            <w:tcW w:w="3119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5610,0</w:t>
            </w:r>
          </w:p>
        </w:tc>
        <w:tc>
          <w:tcPr>
            <w:tcW w:w="3260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5439,2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96,9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0E" w:rsidRPr="0048558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0D0E" w:rsidRPr="0048558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>Снижение объемов использованных сре</w:t>
      </w:r>
      <w:proofErr w:type="gramStart"/>
      <w:r w:rsidRPr="00485588">
        <w:rPr>
          <w:rFonts w:ascii="Times New Roman" w:hAnsi="Times New Roman"/>
          <w:sz w:val="28"/>
          <w:szCs w:val="28"/>
        </w:rPr>
        <w:t>дств св</w:t>
      </w:r>
      <w:proofErr w:type="gramEnd"/>
      <w:r w:rsidRPr="00485588">
        <w:rPr>
          <w:rFonts w:ascii="Times New Roman" w:hAnsi="Times New Roman"/>
          <w:sz w:val="28"/>
          <w:szCs w:val="28"/>
        </w:rPr>
        <w:t>язано со снижением количества получателей субсидии на оплату жилого помещения и коммунальных услуг.</w:t>
      </w: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 xml:space="preserve">В 2020 году субсидия на оплату жилого помещения предоставлена 402 семьям, в которых проживало 1264 человека, в 2019 года – 471 семьи (1537 человек). </w:t>
      </w:r>
    </w:p>
    <w:tbl>
      <w:tblPr>
        <w:tblStyle w:val="a6"/>
        <w:tblW w:w="9039" w:type="dxa"/>
        <w:tblInd w:w="704" w:type="dxa"/>
        <w:tblLook w:val="04A0"/>
      </w:tblPr>
      <w:tblGrid>
        <w:gridCol w:w="3260"/>
        <w:gridCol w:w="1133"/>
        <w:gridCol w:w="994"/>
        <w:gridCol w:w="1275"/>
        <w:gridCol w:w="963"/>
        <w:gridCol w:w="1414"/>
      </w:tblGrid>
      <w:tr w:rsidR="009B0D0E" w:rsidRPr="00886F08" w:rsidTr="00374E38">
        <w:trPr>
          <w:trHeight w:val="345"/>
        </w:trPr>
        <w:tc>
          <w:tcPr>
            <w:tcW w:w="3260" w:type="dxa"/>
            <w:vMerge w:val="restart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2127" w:type="dxa"/>
            <w:gridSpan w:val="2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238" w:type="dxa"/>
            <w:gridSpan w:val="2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2020г. в % к 2019г.</w:t>
            </w:r>
          </w:p>
        </w:tc>
      </w:tr>
      <w:tr w:rsidR="009B0D0E" w:rsidRPr="00886F08" w:rsidTr="00374E38">
        <w:trPr>
          <w:trHeight w:val="303"/>
        </w:trPr>
        <w:tc>
          <w:tcPr>
            <w:tcW w:w="3260" w:type="dxa"/>
            <w:vMerge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Кол-во семей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Кол-во семей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4" w:type="dxa"/>
            <w:vMerge/>
            <w:shd w:val="clear" w:color="auto" w:fill="auto"/>
          </w:tcPr>
          <w:p w:rsidR="009B0D0E" w:rsidRPr="00886F08" w:rsidRDefault="009B0D0E" w:rsidP="009B0D0E">
            <w:pPr>
              <w:rPr>
                <w:sz w:val="28"/>
                <w:szCs w:val="28"/>
              </w:rPr>
            </w:pPr>
          </w:p>
        </w:tc>
      </w:tr>
      <w:tr w:rsidR="009B0D0E" w:rsidRPr="00886F08" w:rsidTr="00374E38">
        <w:trPr>
          <w:trHeight w:val="309"/>
        </w:trPr>
        <w:tc>
          <w:tcPr>
            <w:tcW w:w="3260" w:type="dxa"/>
          </w:tcPr>
          <w:p w:rsidR="009B0D0E" w:rsidRPr="00886F08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1414" w:type="dxa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93,6</w:t>
            </w:r>
          </w:p>
        </w:tc>
      </w:tr>
      <w:tr w:rsidR="009B0D0E" w:rsidRPr="00886F08" w:rsidTr="00374E38">
        <w:tc>
          <w:tcPr>
            <w:tcW w:w="3260" w:type="dxa"/>
          </w:tcPr>
          <w:p w:rsidR="009B0D0E" w:rsidRPr="00886F08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32,9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414" w:type="dxa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</w:tr>
      <w:tr w:rsidR="009B0D0E" w:rsidRPr="00886F08" w:rsidTr="00374E38">
        <w:tc>
          <w:tcPr>
            <w:tcW w:w="3260" w:type="dxa"/>
          </w:tcPr>
          <w:p w:rsidR="009B0D0E" w:rsidRPr="00886F08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414" w:type="dxa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9B0D0E" w:rsidRPr="00886F08" w:rsidTr="00374E38">
        <w:tc>
          <w:tcPr>
            <w:tcW w:w="3260" w:type="dxa"/>
          </w:tcPr>
          <w:p w:rsidR="009B0D0E" w:rsidRPr="00886F08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Семьи с небольшими доходами</w:t>
            </w: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1414" w:type="dxa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9B0D0E" w:rsidRPr="00886F08" w:rsidTr="00374E38">
        <w:tc>
          <w:tcPr>
            <w:tcW w:w="3260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  <w:tc>
          <w:tcPr>
            <w:tcW w:w="994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962" w:type="dxa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4" w:type="dxa"/>
            <w:shd w:val="clear" w:color="auto" w:fill="auto"/>
          </w:tcPr>
          <w:p w:rsidR="009B0D0E" w:rsidRPr="00886F08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F08"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</w:tbl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снижение произошло по категориям «многодетные семьи» и «семьи с небольшими доходами». </w:t>
      </w:r>
      <w:r w:rsidRPr="00485588">
        <w:rPr>
          <w:rFonts w:ascii="Times New Roman" w:hAnsi="Times New Roman"/>
          <w:sz w:val="28"/>
          <w:szCs w:val="28"/>
        </w:rPr>
        <w:t>Снижение количеств</w:t>
      </w:r>
      <w:r>
        <w:rPr>
          <w:rFonts w:ascii="Times New Roman" w:hAnsi="Times New Roman"/>
          <w:sz w:val="28"/>
          <w:szCs w:val="28"/>
        </w:rPr>
        <w:t>а</w:t>
      </w:r>
      <w:r w:rsidRPr="00485588">
        <w:rPr>
          <w:rFonts w:ascii="Times New Roman" w:hAnsi="Times New Roman"/>
          <w:sz w:val="28"/>
          <w:szCs w:val="28"/>
        </w:rPr>
        <w:t xml:space="preserve"> получателей субсидии связано с увеличением доходов у получателей субсидий. Увеличение МРОТ  привело к увеличению заработной платы. Также увеличивались размеры социальных выплат на детей, появилась ежемесячная выплат</w:t>
      </w:r>
      <w:r>
        <w:rPr>
          <w:rFonts w:ascii="Times New Roman" w:hAnsi="Times New Roman"/>
          <w:sz w:val="28"/>
          <w:szCs w:val="28"/>
        </w:rPr>
        <w:t>а</w:t>
      </w:r>
      <w:r w:rsidRPr="00485588">
        <w:rPr>
          <w:rFonts w:ascii="Times New Roman" w:hAnsi="Times New Roman"/>
          <w:sz w:val="28"/>
          <w:szCs w:val="28"/>
        </w:rPr>
        <w:t xml:space="preserve"> на 3-го и последующих детей в размере 11057 руб., на ребенка от 3 до 7 лет в размере 5979,5 руб. В связи с проводимой пенсионной реформой были увеличены размеры пенсий.</w:t>
      </w: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тем, увеличился с</w:t>
      </w:r>
      <w:r w:rsidRPr="00485588">
        <w:rPr>
          <w:rFonts w:ascii="Times New Roman" w:hAnsi="Times New Roman"/>
          <w:sz w:val="28"/>
          <w:szCs w:val="28"/>
        </w:rPr>
        <w:t>редний размер субсидии в месяц на 1 семью</w:t>
      </w:r>
      <w:r>
        <w:rPr>
          <w:rFonts w:ascii="Times New Roman" w:hAnsi="Times New Roman"/>
          <w:sz w:val="28"/>
          <w:szCs w:val="28"/>
        </w:rPr>
        <w:t>.</w:t>
      </w:r>
      <w:r w:rsidRPr="0048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он </w:t>
      </w:r>
      <w:r w:rsidRPr="00485588">
        <w:rPr>
          <w:rFonts w:ascii="Times New Roman" w:hAnsi="Times New Roman"/>
          <w:sz w:val="28"/>
          <w:szCs w:val="28"/>
        </w:rPr>
        <w:t>составил 1142,66 руб., в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58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оду </w:t>
      </w:r>
      <w:r w:rsidRPr="00485588">
        <w:rPr>
          <w:rFonts w:ascii="Times New Roman" w:hAnsi="Times New Roman"/>
          <w:sz w:val="28"/>
          <w:szCs w:val="28"/>
        </w:rPr>
        <w:t xml:space="preserve">- 992,99 руб. Увеличение по сравнению с 2019 годом составило 15,1%. Увеличение </w:t>
      </w:r>
      <w:r>
        <w:rPr>
          <w:rFonts w:ascii="Times New Roman" w:hAnsi="Times New Roman"/>
          <w:sz w:val="28"/>
          <w:szCs w:val="28"/>
        </w:rPr>
        <w:t xml:space="preserve">размера </w:t>
      </w:r>
      <w:r w:rsidRPr="00485588">
        <w:rPr>
          <w:rFonts w:ascii="Times New Roman" w:hAnsi="Times New Roman"/>
          <w:sz w:val="28"/>
          <w:szCs w:val="28"/>
        </w:rPr>
        <w:t>связано с увеличением прожиточного минимума и увеличением стоимости доставки дров.</w:t>
      </w: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D0E" w:rsidRPr="006F008B" w:rsidRDefault="009B0D0E" w:rsidP="009B0D0E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2362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Субсидию оформляют граждане всех поселений Качугского района. </w:t>
      </w:r>
      <w:r w:rsidRPr="00485588">
        <w:rPr>
          <w:rFonts w:ascii="Times New Roman" w:hAnsi="Times New Roman"/>
          <w:sz w:val="28"/>
          <w:szCs w:val="28"/>
        </w:rPr>
        <w:t xml:space="preserve">Наибольше количество получателей проживает в р.п. Качуг (143 семьи), в </w:t>
      </w:r>
      <w:proofErr w:type="spellStart"/>
      <w:r w:rsidRPr="00485588">
        <w:rPr>
          <w:rFonts w:ascii="Times New Roman" w:hAnsi="Times New Roman"/>
          <w:sz w:val="28"/>
          <w:szCs w:val="28"/>
        </w:rPr>
        <w:t>Бирюльском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(63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Карлукском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(39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Бутаковском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(31</w:t>
      </w:r>
      <w:r>
        <w:rPr>
          <w:rFonts w:ascii="Times New Roman" w:hAnsi="Times New Roman"/>
          <w:sz w:val="28"/>
          <w:szCs w:val="28"/>
        </w:rPr>
        <w:t>семья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Качугском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(30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485588">
        <w:rPr>
          <w:rFonts w:ascii="Times New Roman" w:hAnsi="Times New Roman"/>
          <w:sz w:val="28"/>
          <w:szCs w:val="28"/>
        </w:rPr>
        <w:t>Ангинском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(27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 сельских поселениях. Менее активны жители </w:t>
      </w:r>
      <w:proofErr w:type="spellStart"/>
      <w:r w:rsidRPr="00485588">
        <w:rPr>
          <w:rFonts w:ascii="Times New Roman" w:hAnsi="Times New Roman"/>
          <w:sz w:val="28"/>
          <w:szCs w:val="28"/>
        </w:rPr>
        <w:t>Манзурского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Харбатовского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(19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Верхоленского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(10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 и В. </w:t>
      </w:r>
      <w:proofErr w:type="spellStart"/>
      <w:r w:rsidRPr="00485588">
        <w:rPr>
          <w:rFonts w:ascii="Times New Roman" w:hAnsi="Times New Roman"/>
          <w:sz w:val="28"/>
          <w:szCs w:val="28"/>
        </w:rPr>
        <w:t>Тутурского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(8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 сельских поселений. Небольшое количество получателей в </w:t>
      </w:r>
      <w:proofErr w:type="spellStart"/>
      <w:r w:rsidRPr="00485588">
        <w:rPr>
          <w:rFonts w:ascii="Times New Roman" w:hAnsi="Times New Roman"/>
          <w:sz w:val="28"/>
          <w:szCs w:val="28"/>
        </w:rPr>
        <w:t>Залогском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(5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4855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85588">
        <w:rPr>
          <w:rFonts w:ascii="Times New Roman" w:hAnsi="Times New Roman"/>
          <w:sz w:val="28"/>
          <w:szCs w:val="28"/>
        </w:rPr>
        <w:t>Белоусовском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(4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Pr="00485588">
        <w:rPr>
          <w:rFonts w:ascii="Times New Roman" w:hAnsi="Times New Roman"/>
          <w:sz w:val="28"/>
          <w:szCs w:val="28"/>
        </w:rPr>
        <w:t>), Зареченском (2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Pr="00485588">
        <w:rPr>
          <w:rFonts w:ascii="Times New Roman" w:hAnsi="Times New Roman"/>
          <w:sz w:val="28"/>
          <w:szCs w:val="28"/>
        </w:rPr>
        <w:t xml:space="preserve">), и Б. </w:t>
      </w:r>
      <w:proofErr w:type="spellStart"/>
      <w:r w:rsidRPr="00485588">
        <w:rPr>
          <w:rFonts w:ascii="Times New Roman" w:hAnsi="Times New Roman"/>
          <w:sz w:val="28"/>
          <w:szCs w:val="28"/>
        </w:rPr>
        <w:t>Тарельском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 xml:space="preserve"> семья</w:t>
      </w:r>
      <w:r w:rsidRPr="00485588">
        <w:rPr>
          <w:rFonts w:ascii="Times New Roman" w:hAnsi="Times New Roman"/>
          <w:sz w:val="28"/>
          <w:szCs w:val="28"/>
        </w:rPr>
        <w:t>) сельских поселениях.</w:t>
      </w:r>
    </w:p>
    <w:p w:rsidR="009B0D0E" w:rsidRDefault="009B0D0E" w:rsidP="009B0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914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8505" w:type="dxa"/>
        <w:tblInd w:w="704" w:type="dxa"/>
        <w:tblLook w:val="04A0"/>
      </w:tblPr>
      <w:tblGrid>
        <w:gridCol w:w="2835"/>
        <w:gridCol w:w="2410"/>
        <w:gridCol w:w="1276"/>
        <w:gridCol w:w="1984"/>
      </w:tblGrid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Сумма субсидии, тыс. руб.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получателей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1211,4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Летний водопровод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 xml:space="preserve">Плата за </w:t>
            </w:r>
            <w:r w:rsidRPr="006F008B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lastRenderedPageBreak/>
              <w:t>19,0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008B">
              <w:rPr>
                <w:rFonts w:ascii="Times New Roman" w:hAnsi="Times New Roman"/>
                <w:sz w:val="28"/>
                <w:szCs w:val="28"/>
              </w:rPr>
              <w:lastRenderedPageBreak/>
              <w:t>Кварплата</w:t>
            </w:r>
            <w:proofErr w:type="spellEnd"/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Освещение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789,9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F9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Дрова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3344,7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0D0E" w:rsidRPr="006F008B" w:rsidTr="00374E38">
        <w:tc>
          <w:tcPr>
            <w:tcW w:w="2835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5439,2</w:t>
            </w:r>
          </w:p>
        </w:tc>
        <w:tc>
          <w:tcPr>
            <w:tcW w:w="1276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08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B0D0E" w:rsidRPr="006F008B" w:rsidRDefault="009B0D0E" w:rsidP="009B0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B0D0E" w:rsidRPr="006F008B" w:rsidRDefault="009B0D0E" w:rsidP="009B0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0E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проводимой пенсионной реформой появились лица </w:t>
      </w:r>
      <w:proofErr w:type="spellStart"/>
      <w:r>
        <w:rPr>
          <w:rFonts w:ascii="Times New Roman" w:hAnsi="Times New Roman"/>
          <w:sz w:val="28"/>
          <w:szCs w:val="28"/>
        </w:rPr>
        <w:t>предпенсионого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возраста. Для лиц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</w:t>
      </w:r>
      <w:r w:rsidRPr="0026038A">
        <w:rPr>
          <w:rFonts w:ascii="Times New Roman" w:hAnsi="Times New Roman"/>
          <w:sz w:val="28"/>
          <w:szCs w:val="28"/>
        </w:rPr>
        <w:t xml:space="preserve"> </w:t>
      </w:r>
      <w:r w:rsidRPr="00485588">
        <w:rPr>
          <w:rFonts w:ascii="Times New Roman" w:hAnsi="Times New Roman"/>
          <w:sz w:val="28"/>
          <w:szCs w:val="28"/>
        </w:rPr>
        <w:t>действующ</w:t>
      </w:r>
      <w:r>
        <w:rPr>
          <w:rFonts w:ascii="Times New Roman" w:hAnsi="Times New Roman"/>
          <w:sz w:val="28"/>
          <w:szCs w:val="28"/>
        </w:rPr>
        <w:t>им</w:t>
      </w:r>
      <w:r w:rsidRPr="00485588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 xml:space="preserve">ом предусмотрены льготы </w:t>
      </w:r>
      <w:r w:rsidRPr="00485588">
        <w:rPr>
          <w:rFonts w:ascii="Times New Roman" w:hAnsi="Times New Roman"/>
          <w:sz w:val="28"/>
          <w:szCs w:val="28"/>
        </w:rPr>
        <w:t>по оплате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485588">
        <w:rPr>
          <w:rFonts w:ascii="Times New Roman" w:hAnsi="Times New Roman"/>
          <w:sz w:val="28"/>
          <w:szCs w:val="28"/>
        </w:rPr>
        <w:t xml:space="preserve"> жилищно-коммунальны</w:t>
      </w:r>
      <w:r>
        <w:rPr>
          <w:rFonts w:ascii="Times New Roman" w:hAnsi="Times New Roman"/>
          <w:sz w:val="28"/>
          <w:szCs w:val="28"/>
        </w:rPr>
        <w:t>е</w:t>
      </w:r>
      <w:r w:rsidRPr="0048558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485588">
        <w:rPr>
          <w:rFonts w:ascii="Times New Roman" w:hAnsi="Times New Roman"/>
          <w:sz w:val="28"/>
          <w:szCs w:val="28"/>
        </w:rPr>
        <w:t xml:space="preserve">В 2020 году 4 </w:t>
      </w:r>
      <w:proofErr w:type="spellStart"/>
      <w:r w:rsidRPr="00485588">
        <w:rPr>
          <w:rFonts w:ascii="Times New Roman" w:hAnsi="Times New Roman"/>
          <w:sz w:val="28"/>
          <w:szCs w:val="28"/>
        </w:rPr>
        <w:t>предпенсионерам</w:t>
      </w:r>
      <w:proofErr w:type="spellEnd"/>
      <w:r w:rsidRPr="00485588">
        <w:rPr>
          <w:rFonts w:ascii="Times New Roman" w:hAnsi="Times New Roman"/>
          <w:sz w:val="28"/>
          <w:szCs w:val="28"/>
        </w:rPr>
        <w:t xml:space="preserve"> предоставлена льгота по оплате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485588">
        <w:rPr>
          <w:rFonts w:ascii="Times New Roman" w:hAnsi="Times New Roman"/>
          <w:sz w:val="28"/>
          <w:szCs w:val="28"/>
        </w:rPr>
        <w:t xml:space="preserve"> жилищно-коммунальны</w:t>
      </w:r>
      <w:r>
        <w:rPr>
          <w:rFonts w:ascii="Times New Roman" w:hAnsi="Times New Roman"/>
          <w:sz w:val="28"/>
          <w:szCs w:val="28"/>
        </w:rPr>
        <w:t>е</w:t>
      </w:r>
      <w:r w:rsidRPr="0048558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8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485588">
        <w:rPr>
          <w:rFonts w:ascii="Times New Roman" w:hAnsi="Times New Roman"/>
          <w:sz w:val="28"/>
          <w:szCs w:val="28"/>
        </w:rPr>
        <w:t>на сумму 29,0 тыс. руб.</w:t>
      </w:r>
    </w:p>
    <w:p w:rsidR="009B0D0E" w:rsidRPr="00CB04DB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85588">
        <w:rPr>
          <w:rFonts w:ascii="Times New Roman" w:hAnsi="Times New Roman"/>
          <w:sz w:val="28"/>
          <w:szCs w:val="28"/>
        </w:rPr>
        <w:t xml:space="preserve">едется работа </w:t>
      </w:r>
      <w:r>
        <w:rPr>
          <w:rFonts w:ascii="Times New Roman" w:hAnsi="Times New Roman"/>
          <w:sz w:val="28"/>
          <w:szCs w:val="28"/>
        </w:rPr>
        <w:t>по внедрению электронных сервисов с целью снижения количества предоставляемых заявителями</w:t>
      </w:r>
      <w:r w:rsidRPr="000A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документов. В порядке </w:t>
      </w:r>
      <w:r w:rsidRPr="00485588">
        <w:rPr>
          <w:rFonts w:ascii="Times New Roman" w:hAnsi="Times New Roman"/>
          <w:sz w:val="28"/>
          <w:szCs w:val="28"/>
        </w:rPr>
        <w:t xml:space="preserve">межведомственного информационного взаимодействия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Смарт</w:t>
      </w:r>
      <w:proofErr w:type="spellEnd"/>
      <w:r>
        <w:rPr>
          <w:rFonts w:ascii="Times New Roman" w:hAnsi="Times New Roman"/>
          <w:sz w:val="28"/>
          <w:szCs w:val="28"/>
        </w:rPr>
        <w:t xml:space="preserve">–Роутер в 2020 году </w:t>
      </w:r>
      <w:r w:rsidRPr="00485588">
        <w:rPr>
          <w:rFonts w:ascii="Times New Roman" w:hAnsi="Times New Roman"/>
          <w:sz w:val="28"/>
          <w:szCs w:val="28"/>
        </w:rPr>
        <w:t>направлено 1</w:t>
      </w:r>
      <w:r w:rsidRPr="00B1301F">
        <w:rPr>
          <w:rFonts w:ascii="Times New Roman" w:hAnsi="Times New Roman"/>
          <w:sz w:val="28"/>
          <w:szCs w:val="28"/>
        </w:rPr>
        <w:t>458</w:t>
      </w:r>
      <w:r w:rsidRPr="00485588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ов</w:t>
      </w:r>
      <w:r w:rsidRPr="00485588">
        <w:rPr>
          <w:rFonts w:ascii="Times New Roman" w:hAnsi="Times New Roman"/>
          <w:sz w:val="28"/>
          <w:szCs w:val="28"/>
        </w:rPr>
        <w:t xml:space="preserve"> в Пенсионный фонд</w:t>
      </w:r>
      <w:r>
        <w:rPr>
          <w:rFonts w:ascii="Times New Roman" w:hAnsi="Times New Roman"/>
          <w:sz w:val="28"/>
          <w:szCs w:val="28"/>
        </w:rPr>
        <w:t>,</w:t>
      </w:r>
      <w:r w:rsidRPr="00485588">
        <w:rPr>
          <w:rFonts w:ascii="Times New Roman" w:hAnsi="Times New Roman"/>
          <w:sz w:val="28"/>
          <w:szCs w:val="28"/>
        </w:rPr>
        <w:t xml:space="preserve">  Службу занятости населения</w:t>
      </w:r>
      <w:r>
        <w:rPr>
          <w:rFonts w:ascii="Times New Roman" w:hAnsi="Times New Roman"/>
          <w:sz w:val="28"/>
          <w:szCs w:val="28"/>
        </w:rPr>
        <w:t xml:space="preserve">, ФСС и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настоящее время ведется работа по внедрению электронных сервисов ЕГИССО, ГИС ЖКХ, ЕГИС ЗАГС, МВД с целью получения информации по </w:t>
      </w:r>
      <w:proofErr w:type="spellStart"/>
      <w:r>
        <w:rPr>
          <w:rFonts w:ascii="Times New Roman" w:hAnsi="Times New Roman"/>
          <w:sz w:val="28"/>
          <w:szCs w:val="28"/>
        </w:rPr>
        <w:t>соцвыплатам</w:t>
      </w:r>
      <w:proofErr w:type="spellEnd"/>
      <w:r>
        <w:rPr>
          <w:rFonts w:ascii="Times New Roman" w:hAnsi="Times New Roman"/>
          <w:sz w:val="28"/>
          <w:szCs w:val="28"/>
        </w:rPr>
        <w:t xml:space="preserve">, по оплате за </w:t>
      </w:r>
      <w:proofErr w:type="spellStart"/>
      <w:r>
        <w:rPr>
          <w:rFonts w:ascii="Times New Roman" w:hAnsi="Times New Roman"/>
          <w:sz w:val="28"/>
          <w:szCs w:val="28"/>
        </w:rPr>
        <w:t>комуслуги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, данных о рождении (смерти) и о прописке. </w:t>
      </w:r>
    </w:p>
    <w:p w:rsidR="009B0D0E" w:rsidRPr="00485588" w:rsidRDefault="009B0D0E" w:rsidP="009B0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588">
        <w:rPr>
          <w:rFonts w:ascii="Times New Roman" w:hAnsi="Times New Roman"/>
          <w:sz w:val="28"/>
          <w:szCs w:val="28"/>
        </w:rPr>
        <w:t xml:space="preserve">Для удобства получателей субсидии в 2018 году впервые был заключен договор со Сбербанком России. </w:t>
      </w:r>
      <w:r w:rsidR="00BD22CC">
        <w:rPr>
          <w:rFonts w:ascii="Times New Roman" w:hAnsi="Times New Roman"/>
          <w:sz w:val="28"/>
          <w:szCs w:val="28"/>
        </w:rPr>
        <w:t xml:space="preserve">Количество получателей </w:t>
      </w:r>
      <w:r w:rsidR="00BD22CC" w:rsidRPr="00236204">
        <w:rPr>
          <w:rFonts w:ascii="Times New Roman" w:hAnsi="Times New Roman"/>
          <w:sz w:val="28"/>
          <w:szCs w:val="28"/>
        </w:rPr>
        <w:t>субсидии на пластиковые карты ежегодно увеличивается</w:t>
      </w:r>
      <w:r w:rsidR="00236204" w:rsidRPr="00236204">
        <w:rPr>
          <w:rFonts w:ascii="Times New Roman" w:hAnsi="Times New Roman"/>
          <w:sz w:val="28"/>
          <w:szCs w:val="28"/>
        </w:rPr>
        <w:t>.</w:t>
      </w:r>
      <w:r w:rsidRPr="00485588">
        <w:rPr>
          <w:rFonts w:ascii="Times New Roman" w:hAnsi="Times New Roman"/>
          <w:sz w:val="28"/>
          <w:szCs w:val="28"/>
        </w:rPr>
        <w:t xml:space="preserve"> </w:t>
      </w:r>
    </w:p>
    <w:p w:rsidR="009B0D0E" w:rsidRDefault="009B0D0E" w:rsidP="009B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90" w:rsidRDefault="00B40509" w:rsidP="00E2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задачами на 2021</w:t>
      </w:r>
      <w:r w:rsidR="00112A90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прогнозного плана приватизации на 20</w:t>
      </w:r>
      <w:r w:rsidR="00B4050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внесение изменений в нормативно-правовые акты, регламентирующие работу отдела, в связи с изменением законодательства;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муниципального имущества;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по подготовке проектов муниципальных правовых актов и сопутствующей документации для передачи во временное владение и пользование объектов муниципального имущества;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по предоставлению муниципальных услуг в </w:t>
      </w:r>
      <w:r w:rsidR="00B4050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земельных правоотношени</w:t>
      </w:r>
      <w:r w:rsidR="00B4050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с муниципальными образованиями по внесению в реестр сведений о границах населенных пунктов, муниципальных образований, выполнению мероприятий </w:t>
      </w:r>
      <w:r w:rsidR="00B40509">
        <w:rPr>
          <w:rFonts w:ascii="Times New Roman" w:hAnsi="Times New Roman" w:cs="Times New Roman"/>
          <w:sz w:val="28"/>
          <w:szCs w:val="28"/>
        </w:rPr>
        <w:t>по наполнению Единого реестра недвижимого имущества недостающими сведениями;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функций администратора платежей, поступающих в бюджет муниципального образования «Качугский район»;</w:t>
      </w:r>
    </w:p>
    <w:p w:rsidR="00112A90" w:rsidRDefault="00112A90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муниципальной услуги по выдаче выписок из реестра муниципального имущес</w:t>
      </w:r>
      <w:r w:rsidR="004355EA">
        <w:rPr>
          <w:rFonts w:ascii="Times New Roman" w:hAnsi="Times New Roman" w:cs="Times New Roman"/>
          <w:sz w:val="28"/>
          <w:szCs w:val="28"/>
        </w:rPr>
        <w:t>тва;</w:t>
      </w:r>
    </w:p>
    <w:p w:rsidR="004355EA" w:rsidRDefault="004355EA" w:rsidP="00112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получателей субсидий на оплату жилого помещения и коммунальных услуг;</w:t>
      </w:r>
    </w:p>
    <w:p w:rsidR="004355EA" w:rsidRPr="006E7E81" w:rsidRDefault="004355EA" w:rsidP="00112A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внедрению электронных сервисов с целью снижения количества предоставляемых заявителями документов.</w:t>
      </w:r>
    </w:p>
    <w:p w:rsidR="00112A90" w:rsidRDefault="00112A90" w:rsidP="00112A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2CE" w:rsidRPr="00002C5F" w:rsidRDefault="006402CE" w:rsidP="00112A9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402CE" w:rsidRPr="00002C5F" w:rsidSect="00666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C5E"/>
    <w:multiLevelType w:val="multilevel"/>
    <w:tmpl w:val="547C8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9D2"/>
    <w:rsid w:val="000063BD"/>
    <w:rsid w:val="00024AEC"/>
    <w:rsid w:val="00047627"/>
    <w:rsid w:val="00084DF0"/>
    <w:rsid w:val="00085BD1"/>
    <w:rsid w:val="000A392C"/>
    <w:rsid w:val="000C0524"/>
    <w:rsid w:val="000C204B"/>
    <w:rsid w:val="000C2B90"/>
    <w:rsid w:val="000E110F"/>
    <w:rsid w:val="000F5A17"/>
    <w:rsid w:val="000F6647"/>
    <w:rsid w:val="000F6F2D"/>
    <w:rsid w:val="00112A90"/>
    <w:rsid w:val="00161DD9"/>
    <w:rsid w:val="00162E2E"/>
    <w:rsid w:val="00164B85"/>
    <w:rsid w:val="001900FA"/>
    <w:rsid w:val="001C24F7"/>
    <w:rsid w:val="00236204"/>
    <w:rsid w:val="0028075F"/>
    <w:rsid w:val="002A0B18"/>
    <w:rsid w:val="002A66F1"/>
    <w:rsid w:val="002C7593"/>
    <w:rsid w:val="002E59DD"/>
    <w:rsid w:val="00314FF8"/>
    <w:rsid w:val="003D0DC3"/>
    <w:rsid w:val="003D23AA"/>
    <w:rsid w:val="003E321A"/>
    <w:rsid w:val="0040702B"/>
    <w:rsid w:val="004232D0"/>
    <w:rsid w:val="004355EA"/>
    <w:rsid w:val="004434E2"/>
    <w:rsid w:val="0047610B"/>
    <w:rsid w:val="004965B9"/>
    <w:rsid w:val="004C0A41"/>
    <w:rsid w:val="004D0D82"/>
    <w:rsid w:val="004E1341"/>
    <w:rsid w:val="004F6F22"/>
    <w:rsid w:val="0055229F"/>
    <w:rsid w:val="005544D7"/>
    <w:rsid w:val="0055702F"/>
    <w:rsid w:val="00591A0A"/>
    <w:rsid w:val="005A2A4F"/>
    <w:rsid w:val="005F3E0E"/>
    <w:rsid w:val="00627AAD"/>
    <w:rsid w:val="006402CE"/>
    <w:rsid w:val="00642B0E"/>
    <w:rsid w:val="0065489C"/>
    <w:rsid w:val="006662E3"/>
    <w:rsid w:val="006814C2"/>
    <w:rsid w:val="006B154E"/>
    <w:rsid w:val="006C246B"/>
    <w:rsid w:val="006E2EAE"/>
    <w:rsid w:val="006E6F01"/>
    <w:rsid w:val="006E7700"/>
    <w:rsid w:val="007040C5"/>
    <w:rsid w:val="0074492F"/>
    <w:rsid w:val="00765D1A"/>
    <w:rsid w:val="007809FE"/>
    <w:rsid w:val="007905BC"/>
    <w:rsid w:val="007A258D"/>
    <w:rsid w:val="007D7BB4"/>
    <w:rsid w:val="007E1A0C"/>
    <w:rsid w:val="007F2BCC"/>
    <w:rsid w:val="00814FFA"/>
    <w:rsid w:val="00822A7E"/>
    <w:rsid w:val="00835217"/>
    <w:rsid w:val="00860CAB"/>
    <w:rsid w:val="009013C6"/>
    <w:rsid w:val="009B0D0E"/>
    <w:rsid w:val="009E4F36"/>
    <w:rsid w:val="009F6350"/>
    <w:rsid w:val="00A4132A"/>
    <w:rsid w:val="00A5413A"/>
    <w:rsid w:val="00A85F32"/>
    <w:rsid w:val="00AA06C8"/>
    <w:rsid w:val="00AB2318"/>
    <w:rsid w:val="00AB2CB5"/>
    <w:rsid w:val="00AF5C30"/>
    <w:rsid w:val="00B00C77"/>
    <w:rsid w:val="00B3318B"/>
    <w:rsid w:val="00B35C07"/>
    <w:rsid w:val="00B40509"/>
    <w:rsid w:val="00B42BC4"/>
    <w:rsid w:val="00B574DC"/>
    <w:rsid w:val="00B609D2"/>
    <w:rsid w:val="00B82F12"/>
    <w:rsid w:val="00BA3D1D"/>
    <w:rsid w:val="00BB4EC7"/>
    <w:rsid w:val="00BD22CC"/>
    <w:rsid w:val="00BE7E7D"/>
    <w:rsid w:val="00C3160C"/>
    <w:rsid w:val="00C5044C"/>
    <w:rsid w:val="00C64601"/>
    <w:rsid w:val="00CC3943"/>
    <w:rsid w:val="00CD16FF"/>
    <w:rsid w:val="00CE00DB"/>
    <w:rsid w:val="00D07F82"/>
    <w:rsid w:val="00D12211"/>
    <w:rsid w:val="00D179E2"/>
    <w:rsid w:val="00D2676C"/>
    <w:rsid w:val="00D3458D"/>
    <w:rsid w:val="00D369B8"/>
    <w:rsid w:val="00D36FF6"/>
    <w:rsid w:val="00D66908"/>
    <w:rsid w:val="00D670ED"/>
    <w:rsid w:val="00D972F0"/>
    <w:rsid w:val="00DB5798"/>
    <w:rsid w:val="00DD7E03"/>
    <w:rsid w:val="00DE0A32"/>
    <w:rsid w:val="00E034A7"/>
    <w:rsid w:val="00E1157A"/>
    <w:rsid w:val="00E16C65"/>
    <w:rsid w:val="00E17EB9"/>
    <w:rsid w:val="00E2378B"/>
    <w:rsid w:val="00E45D86"/>
    <w:rsid w:val="00E50932"/>
    <w:rsid w:val="00E52EA9"/>
    <w:rsid w:val="00E53EB5"/>
    <w:rsid w:val="00EC0A4A"/>
    <w:rsid w:val="00ED03BD"/>
    <w:rsid w:val="00F03499"/>
    <w:rsid w:val="00F068B9"/>
    <w:rsid w:val="00F315EF"/>
    <w:rsid w:val="00F339F3"/>
    <w:rsid w:val="00F46CA1"/>
    <w:rsid w:val="00F87C21"/>
    <w:rsid w:val="00FA4C4F"/>
    <w:rsid w:val="00FE32C4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77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6402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402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9B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размер субсидии на 1 семью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 месяц, руб.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992.99</c:v>
                </c:pt>
                <c:pt idx="1">
                  <c:v>1142.6599999999999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26-43A4-B13A-4634935634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26-43A4-B13A-4634935634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26-43A4-B13A-463493563417}"/>
            </c:ext>
          </c:extLst>
        </c:ser>
        <c:shape val="box"/>
        <c:axId val="120165504"/>
        <c:axId val="120167040"/>
        <c:axId val="0"/>
      </c:bar3DChart>
      <c:catAx>
        <c:axId val="120165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7040"/>
        <c:crosses val="autoZero"/>
        <c:auto val="1"/>
        <c:lblAlgn val="ctr"/>
        <c:lblOffset val="100"/>
      </c:catAx>
      <c:valAx>
        <c:axId val="120167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получателей субсидии на оплату ЖКУ </a:t>
            </a:r>
          </a:p>
          <a:p>
            <a:pPr>
              <a:defRPr sz="11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поселениям в 2020 году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AE-4CFA-AD8D-5720467BEEE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AE-4CFA-AD8D-5720467BEEE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AE-4CFA-AD8D-5720467BEEE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AE-4CFA-AD8D-5720467BEEE7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9AE-4CFA-AD8D-5720467BEEE7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9AE-4CFA-AD8D-5720467BEEE7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9AE-4CFA-AD8D-5720467BEEE7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9AE-4CFA-AD8D-5720467BEEE7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9AE-4CFA-AD8D-5720467BEEE7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9AE-4CFA-AD8D-5720467BEEE7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69AE-4CFA-AD8D-5720467BEEE7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69AE-4CFA-AD8D-5720467BEEE7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69AE-4CFA-AD8D-5720467BEEE7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69AE-4CFA-AD8D-5720467BEEE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2.3148148148148147E-2"/>
                  <c:y val="-2.81690140845070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AE-4CFA-AD8D-5720467BEEE7}"/>
                </c:ext>
              </c:extLst>
            </c:dLbl>
            <c:dLbl>
              <c:idx val="4"/>
              <c:layout>
                <c:manualLayout>
                  <c:x val="7.4074074074073903E-2"/>
                  <c:y val="5.985915492957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AE-4CFA-AD8D-5720467BEEE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6"/>
              <c:layout>
                <c:manualLayout>
                  <c:x val="2.7777777777777891E-2"/>
                  <c:y val="1.30718954248366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AE-4CFA-AD8D-5720467BEEE7}"/>
                </c:ext>
              </c:extLst>
            </c:dLbl>
            <c:dLbl>
              <c:idx val="7"/>
              <c:layout>
                <c:manualLayout>
                  <c:x val="6.1342592592592407E-2"/>
                  <c:y val="9.31143334195902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059036891221928"/>
                      <c:h val="0.1918235924734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9AE-4CFA-AD8D-5720467BEEE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0"/>
              <c:layout>
                <c:manualLayout>
                  <c:x val="4.6296296296296424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9AE-4CFA-AD8D-5720467BEEE7}"/>
                </c:ext>
              </c:extLst>
            </c:dLbl>
            <c:dLbl>
              <c:idx val="11"/>
              <c:layout>
                <c:manualLayout>
                  <c:x val="-2.662037037037047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2651629483814522"/>
                      <c:h val="0.122639821029082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69AE-4CFA-AD8D-5720467BEEE7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4"/>
                <c:pt idx="0">
                  <c:v>Анга</c:v>
                </c:pt>
                <c:pt idx="1">
                  <c:v>Белоусово</c:v>
                </c:pt>
                <c:pt idx="2">
                  <c:v>Бирюлька</c:v>
                </c:pt>
                <c:pt idx="3">
                  <c:v>Залог</c:v>
                </c:pt>
                <c:pt idx="4">
                  <c:v>Б. Тарель</c:v>
                </c:pt>
                <c:pt idx="5">
                  <c:v>Бутаково</c:v>
                </c:pt>
                <c:pt idx="6">
                  <c:v>Верхоленск</c:v>
                </c:pt>
                <c:pt idx="7">
                  <c:v>В. Тутуры</c:v>
                </c:pt>
                <c:pt idx="8">
                  <c:v>Карлук</c:v>
                </c:pt>
                <c:pt idx="9">
                  <c:v>Манзурка</c:v>
                </c:pt>
                <c:pt idx="10">
                  <c:v>Заречное</c:v>
                </c:pt>
                <c:pt idx="11">
                  <c:v>Харбатово</c:v>
                </c:pt>
                <c:pt idx="12">
                  <c:v>Качуг. сельское</c:v>
                </c:pt>
                <c:pt idx="13">
                  <c:v>р.п. Качуг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27</c:v>
                </c:pt>
                <c:pt idx="1">
                  <c:v>4</c:v>
                </c:pt>
                <c:pt idx="2">
                  <c:v>63</c:v>
                </c:pt>
                <c:pt idx="3">
                  <c:v>5</c:v>
                </c:pt>
                <c:pt idx="4">
                  <c:v>1</c:v>
                </c:pt>
                <c:pt idx="5">
                  <c:v>31</c:v>
                </c:pt>
                <c:pt idx="6">
                  <c:v>10</c:v>
                </c:pt>
                <c:pt idx="7">
                  <c:v>8</c:v>
                </c:pt>
                <c:pt idx="8">
                  <c:v>39</c:v>
                </c:pt>
                <c:pt idx="9">
                  <c:v>20</c:v>
                </c:pt>
                <c:pt idx="10">
                  <c:v>2</c:v>
                </c:pt>
                <c:pt idx="11">
                  <c:v>19</c:v>
                </c:pt>
                <c:pt idx="12">
                  <c:v>30</c:v>
                </c:pt>
                <c:pt idx="13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69AE-4CFA-AD8D-5720467BEEE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SPecialiST</cp:lastModifiedBy>
  <cp:revision>35</cp:revision>
  <cp:lastPrinted>2021-05-27T06:09:00Z</cp:lastPrinted>
  <dcterms:created xsi:type="dcterms:W3CDTF">2021-05-13T06:00:00Z</dcterms:created>
  <dcterms:modified xsi:type="dcterms:W3CDTF">2021-05-31T02:27:00Z</dcterms:modified>
</cp:coreProperties>
</file>